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559"/>
      </w:tblGrid>
      <w:tr>
        <w:trPr>
          <w:trHeight w:val="400" w:hRule="atLeast"/>
        </w:trPr>
        <w:tc>
          <w:tcPr>
            <w:tcW w:w="1017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55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55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23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31"/>
      </w:tblGrid>
      <w:tr>
        <w:trPr/>
        <w:tc>
          <w:tcPr>
            <w:tcW w:w="102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（あて先）玉村町長</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auto"/>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auto"/>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8"/>
              </w:rPr>
              <w:t>※</w:t>
            </w: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1"/>
              </w:numPr>
              <w:suppressAutoHyphens w:val="1"/>
              <w:kinsoku w:val="0"/>
              <w:wordWrap w:val="0"/>
              <w:overflowPunct w:val="0"/>
              <w:autoSpaceDE w:val="0"/>
              <w:autoSpaceDN w:val="0"/>
              <w:adjustRightInd w:val="0"/>
              <w:spacing w:line="0" w:lineRule="atLeas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0"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0" w:lineRule="atLeas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overflowPunct w:val="0"/>
              <w:autoSpaceDE w:val="0"/>
              <w:autoSpaceDN w:val="0"/>
              <w:adjustRightInd w:val="0"/>
              <w:spacing w:line="240" w:lineRule="auto"/>
              <w:ind w:firstLine="605" w:firstLineChars="250"/>
              <w:textAlignment w:val="baseline"/>
              <w:rPr>
                <w:rFonts w:hint="default" w:ascii="ＭＳ ゴシック" w:hAnsi="ＭＳ ゴシック" w:eastAsia="ＭＳ ゴシック"/>
                <w:color w:val="000000"/>
                <w:spacing w:val="16"/>
                <w:kern w:val="0"/>
              </w:rPr>
            </w:pP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auto"/>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p>
          <w:p>
            <w:pPr>
              <w:pStyle w:val="24"/>
              <w:numPr>
                <w:ilvl w:val="0"/>
                <w:numId w:val="1"/>
              </w:numPr>
              <w:suppressAutoHyphens w:val="1"/>
              <w:kinsoku w:val="0"/>
              <w:wordWrap w:val="0"/>
              <w:overflowPunct w:val="0"/>
              <w:autoSpaceDE w:val="0"/>
              <w:autoSpaceDN w:val="0"/>
              <w:adjustRightInd w:val="0"/>
              <w:spacing w:line="240" w:lineRule="auto"/>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40" w:lineRule="auto"/>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40" w:lineRule="auto"/>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0" w:lineRule="atLeast"/>
              <w:jc w:val="left"/>
              <w:textAlignment w:val="baseline"/>
              <w:rPr>
                <w:rFonts w:hint="default" w:ascii="ＭＳ ゴシック" w:hAnsi="ＭＳ ゴシック" w:eastAsia="ＭＳ ゴシック"/>
                <w:color w:val="000000"/>
                <w:spacing w:val="16"/>
                <w:kern w:val="0"/>
                <w:sz w:val="12"/>
              </w:rPr>
            </w:pPr>
          </w:p>
        </w:tc>
      </w:tr>
    </w:tbl>
    <w:p>
      <w:pPr>
        <w:pStyle w:val="0"/>
        <w:suppressAutoHyphens w:val="1"/>
        <w:spacing w:line="0" w:lineRule="atLeast"/>
        <w:ind w:left="840" w:hanging="840" w:hangingChars="400"/>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（注１）本様式は、指定業種と非指定業種を兼業している場合であって、指定業種及び申請者全体の双方が認定基準を満たす場合に使用する。</w:t>
      </w:r>
    </w:p>
    <w:p>
      <w:pPr>
        <w:pStyle w:val="0"/>
        <w:suppressAutoHyphens w:val="1"/>
        <w:spacing w:line="0" w:lineRule="atLeast"/>
        <w:ind w:left="840" w:hanging="840" w:hangingChars="400"/>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（注２）上昇率、依存率及び最近１か月間における全体の売上原価に占める指定業種の売上原価の割合が２０％以上となっていること。</w:t>
      </w:r>
    </w:p>
    <w:p>
      <w:pPr>
        <w:pStyle w:val="0"/>
        <w:suppressAutoHyphens w:val="1"/>
        <w:spacing w:line="0" w:lineRule="atLeast"/>
        <w:ind w:left="0" w:leftChars="0" w:firstLine="0" w:firstLineChars="0"/>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（注３）Ｐ＞０となっていること。</w:t>
      </w:r>
    </w:p>
    <w:p>
      <w:pPr>
        <w:pStyle w:val="0"/>
        <w:suppressAutoHyphens w:val="1"/>
        <w:spacing w:line="0" w:lineRule="atLeast"/>
        <w:ind w:left="1230" w:hanging="123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（留意事項）</w:t>
      </w:r>
    </w:p>
    <w:p>
      <w:pPr>
        <w:pStyle w:val="24"/>
        <w:numPr>
          <w:ilvl w:val="0"/>
          <w:numId w:val="2"/>
        </w:numPr>
        <w:suppressAutoHyphens w:val="1"/>
        <w:spacing w:line="0" w:lineRule="atLeast"/>
        <w:ind w:leftChars="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本認定とは別に、金融機関及び信用保証協会による金融上の審査があります。</w:t>
      </w:r>
    </w:p>
    <w:p>
      <w:pPr>
        <w:pStyle w:val="24"/>
        <w:numPr>
          <w:ilvl w:val="0"/>
          <w:numId w:val="2"/>
        </w:numPr>
        <w:suppressAutoHyphens w:val="1"/>
        <w:spacing w:line="0" w:lineRule="atLeast"/>
        <w:ind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sz w:val="16"/>
        </w:rPr>
        <w:t>市町村長又は特別区長から認定を受けた日から３０日以内に金融機関又は信用保証協会に対して、保証の申込みを行うことが必要です。</w:t>
      </w:r>
    </w:p>
    <w:tbl>
      <w:tblPr>
        <w:tblStyle w:val="47"/>
        <w:tblpPr w:leftFromText="0" w:rightFromText="0" w:topFromText="0" w:bottomFromText="0" w:vertAnchor="text" w:horzAnchor="margin" w:tblpX="243" w:tblpY="332"/>
        <w:tblOverlap w:val="never"/>
        <w:tblW w:w="0" w:type="auto"/>
        <w:tblLayout w:type="fixed"/>
        <w:tblLook w:firstRow="1" w:lastRow="0" w:firstColumn="1" w:lastColumn="0" w:noHBand="0" w:noVBand="1" w:val="04A0"/>
      </w:tblPr>
      <w:tblGrid>
        <w:gridCol w:w="9740"/>
      </w:tblGrid>
      <w:tr>
        <w:trPr/>
        <w:tc>
          <w:tcPr>
            <w:tcW w:w="9740" w:type="dxa"/>
            <w:vAlign w:val="center"/>
          </w:tcPr>
          <w:p>
            <w:pPr>
              <w:pStyle w:val="0"/>
              <w:wordWrap w:val="0"/>
              <w:spacing w:line="0" w:lineRule="atLeast"/>
              <w:ind w:right="636" w:rightChars="300"/>
              <w:jc w:val="right"/>
              <w:rPr>
                <w:rFonts w:hint="eastAsia"/>
                <w:sz w:val="20"/>
              </w:rPr>
            </w:pPr>
          </w:p>
          <w:p>
            <w:pPr>
              <w:pStyle w:val="0"/>
              <w:wordWrap w:val="0"/>
              <w:spacing w:line="0" w:lineRule="atLeast"/>
              <w:ind w:right="636" w:rightChars="300"/>
              <w:jc w:val="right"/>
              <w:rPr>
                <w:rFonts w:hint="eastAsia"/>
                <w:sz w:val="22"/>
              </w:rPr>
            </w:pPr>
            <w:r>
              <w:rPr>
                <w:rFonts w:hint="eastAsia"/>
                <w:sz w:val="22"/>
              </w:rPr>
              <w:t>玉　経　商　第　　　　号</w:t>
            </w:r>
          </w:p>
          <w:p>
            <w:pPr>
              <w:pStyle w:val="0"/>
              <w:wordWrap w:val="0"/>
              <w:spacing w:line="0" w:lineRule="atLeast"/>
              <w:jc w:val="left"/>
              <w:rPr>
                <w:rFonts w:hint="eastAsia"/>
                <w:sz w:val="22"/>
              </w:rPr>
            </w:pPr>
            <w:r>
              <w:rPr>
                <w:rFonts w:hint="eastAsia"/>
                <w:sz w:val="22"/>
              </w:rPr>
              <w:t>申請のとおり相違ないことを認定します。</w:t>
            </w:r>
          </w:p>
          <w:p>
            <w:pPr>
              <w:pStyle w:val="0"/>
              <w:wordWrap w:val="0"/>
              <w:spacing w:line="0" w:lineRule="atLeast"/>
              <w:jc w:val="left"/>
              <w:rPr>
                <w:rFonts w:hint="eastAsia"/>
                <w:sz w:val="22"/>
              </w:rPr>
            </w:pPr>
            <w:r>
              <w:rPr>
                <w:rFonts w:hint="eastAsia"/>
                <w:sz w:val="22"/>
              </w:rPr>
              <w:t>（注）信用保証協会への申込期間：令和　　年　　月　　日から令和　　年　　月　　日まで</w:t>
            </w:r>
          </w:p>
          <w:p>
            <w:pPr>
              <w:pStyle w:val="0"/>
              <w:wordWrap w:val="0"/>
              <w:spacing w:line="0" w:lineRule="atLeast"/>
              <w:jc w:val="left"/>
              <w:rPr>
                <w:rFonts w:hint="eastAsia"/>
                <w:sz w:val="22"/>
              </w:rPr>
            </w:pPr>
          </w:p>
          <w:p>
            <w:pPr>
              <w:pStyle w:val="0"/>
              <w:wordWrap w:val="0"/>
              <w:spacing w:line="0" w:lineRule="atLeast"/>
              <w:jc w:val="left"/>
              <w:rPr>
                <w:rFonts w:hint="eastAsia"/>
              </w:rPr>
            </w:pPr>
            <w:r>
              <w:rPr>
                <w:rFonts w:hint="eastAsia"/>
                <w:sz w:val="22"/>
              </w:rPr>
              <w:t>　　　　　　令和　　年　　月　　日</w:t>
            </w:r>
          </w:p>
          <w:p>
            <w:pPr>
              <w:pStyle w:val="0"/>
              <w:wordWrap w:val="0"/>
              <w:spacing w:line="0" w:lineRule="atLeast"/>
              <w:jc w:val="left"/>
              <w:rPr>
                <w:rFonts w:hint="eastAsia"/>
              </w:rPr>
            </w:pPr>
            <w:r>
              <w:rPr>
                <w:rFonts w:hint="eastAsia"/>
              </w:rPr>
              <w:t>　　　　　　　　　　　　　　　　　　　（認定者）</w:t>
            </w:r>
          </w:p>
          <w:p>
            <w:pPr>
              <w:pStyle w:val="0"/>
              <w:wordWrap w:val="0"/>
              <w:spacing w:line="0" w:lineRule="atLeast"/>
              <w:jc w:val="left"/>
              <w:rPr>
                <w:rFonts w:hint="eastAsia"/>
              </w:rPr>
            </w:pPr>
            <w:r>
              <w:rPr>
                <w:rFonts w:hint="eastAsia"/>
              </w:rPr>
              <w:t>　　　　　　　　　　　　　　　　　　　　　　　</w:t>
            </w:r>
            <w:r>
              <w:rPr>
                <w:rFonts w:hint="eastAsia"/>
                <w:sz w:val="21"/>
              </w:rPr>
              <w:t>　</w:t>
            </w:r>
            <w:r>
              <w:rPr>
                <w:rFonts w:hint="eastAsia"/>
                <w:sz w:val="22"/>
              </w:rPr>
              <w:t>玉村町長　　石　川　眞　男　　印</w:t>
            </w:r>
          </w:p>
          <w:p>
            <w:pPr>
              <w:pStyle w:val="0"/>
              <w:wordWrap w:val="0"/>
              <w:spacing w:line="0" w:lineRule="atLeast"/>
              <w:jc w:val="left"/>
              <w:rPr>
                <w:rFonts w:hint="eastAsia"/>
                <w:sz w:val="8"/>
              </w:rPr>
            </w:pPr>
          </w:p>
        </w:tc>
      </w:tr>
    </w:tbl>
    <w:p>
      <w:pPr>
        <w:pStyle w:val="24"/>
        <w:numPr>
          <w:numId w:val="0"/>
        </w:numPr>
        <w:suppressAutoHyphens w:val="1"/>
        <w:spacing w:line="0" w:lineRule="atLeast"/>
        <w:ind w:left="570" w:leftChars="0" w:firstLine="0" w:firstLineChars="0"/>
        <w:jc w:val="left"/>
        <w:textAlignment w:val="baseline"/>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spacing w:val="-10"/>
          <w:kern w:val="0"/>
        </w:rPr>
        <w:tab/>
      </w: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tabs>
          <w:tab w:val="left" w:leader="none" w:pos="4295"/>
        </w:tabs>
        <w:rPr>
          <w:rFonts w:hint="default" w:ascii="ＭＳ ゴシック" w:hAnsi="ＭＳ ゴシック" w:eastAsia="ＭＳ ゴシック"/>
          <w:color w:val="000000"/>
          <w:spacing w:val="-10"/>
          <w:kern w:val="0"/>
        </w:rPr>
      </w:pPr>
    </w:p>
    <w:p>
      <w:pPr>
        <w:pStyle w:val="0"/>
        <w:jc w:val="center"/>
        <w:rPr>
          <w:rFonts w:hint="default"/>
          <w:sz w:val="24"/>
        </w:rPr>
      </w:pPr>
      <w:r>
        <w:rPr>
          <w:rFonts w:hint="eastAsia"/>
          <w:sz w:val="24"/>
        </w:rPr>
        <w:t>中小企業信用保険法第２条第５項第５号（ロ）②に規定する認定に関する添付書類</w:t>
      </w:r>
    </w:p>
    <w:p>
      <w:pPr>
        <w:pStyle w:val="0"/>
        <w:jc w:val="center"/>
        <w:rPr>
          <w:rFonts w:hint="default"/>
          <w:sz w:val="24"/>
        </w:rPr>
      </w:pPr>
    </w:p>
    <w:p>
      <w:pPr>
        <w:pStyle w:val="0"/>
        <w:jc w:val="left"/>
        <w:rPr>
          <w:rFonts w:hint="default"/>
          <w:sz w:val="24"/>
        </w:rPr>
      </w:pPr>
      <w:r>
        <w:rPr>
          <w:rFonts w:hint="eastAsia"/>
          <w:sz w:val="24"/>
        </w:rPr>
        <w:t>認定申請企業名　</w:t>
      </w:r>
      <w:r>
        <w:rPr>
          <w:rFonts w:hint="eastAsia"/>
          <w:sz w:val="24"/>
          <w:u w:val="single" w:color="auto"/>
        </w:rPr>
        <w:t>　　　　　　　　　　　　　　　　　　　　　</w:t>
      </w:r>
    </w:p>
    <w:p>
      <w:pPr>
        <w:pStyle w:val="0"/>
        <w:spacing w:line="0" w:lineRule="atLeast"/>
        <w:jc w:val="left"/>
        <w:rPr>
          <w:rFonts w:hint="default"/>
          <w:sz w:val="16"/>
        </w:rPr>
      </w:pPr>
    </w:p>
    <w:p>
      <w:pPr>
        <w:pStyle w:val="0"/>
        <w:spacing w:line="0" w:lineRule="atLeast"/>
        <w:jc w:val="left"/>
        <w:rPr>
          <w:rFonts w:hint="default"/>
          <w:sz w:val="16"/>
        </w:rPr>
      </w:pPr>
    </w:p>
    <w:p>
      <w:pPr>
        <w:pStyle w:val="0"/>
        <w:rPr>
          <w:rFonts w:hint="default" w:asciiTheme="majorEastAsia" w:hAnsiTheme="majorEastAsia" w:eastAsiaTheme="majorEastAsia"/>
          <w:b w:val="1"/>
          <w:sz w:val="21"/>
        </w:rPr>
      </w:pPr>
      <w:r>
        <w:rPr>
          <w:rFonts w:hint="eastAsia" w:asciiTheme="majorEastAsia" w:hAnsiTheme="majorEastAsia" w:eastAsiaTheme="majorEastAsia"/>
          <w:b w:val="1"/>
          <w:sz w:val="22"/>
        </w:rPr>
        <w:t>（表１：事業が属する業種ごとの最近１年間の売上高）</w:t>
      </w:r>
    </w:p>
    <w:p>
      <w:pPr>
        <w:pStyle w:val="0"/>
        <w:rPr>
          <w:rFonts w:hint="default" w:asciiTheme="majorEastAsia" w:hAnsiTheme="majorEastAsia" w:eastAsiaTheme="majorEastAsia"/>
          <w:b w:val="1"/>
          <w:sz w:val="20"/>
        </w:rPr>
      </w:pPr>
      <w:r>
        <w:rPr>
          <w:rFonts w:hint="eastAsia" w:asciiTheme="majorEastAsia" w:hAnsiTheme="majorEastAsia" w:eastAsiaTheme="majorEastAsia"/>
          <w:b w:val="0"/>
          <w:sz w:val="22"/>
        </w:rPr>
        <w:t>当社の指定業種は</w:t>
      </w:r>
      <w:r>
        <w:rPr>
          <w:rFonts w:hint="eastAsia" w:asciiTheme="majorEastAsia" w:hAnsiTheme="majorEastAsia" w:eastAsiaTheme="majorEastAsia"/>
          <w:b w:val="0"/>
          <w:sz w:val="22"/>
          <w:u w:val="single" w:color="auto"/>
        </w:rPr>
        <w:t>　　　　　　　　　　　　　　　</w:t>
      </w:r>
    </w:p>
    <w:tbl>
      <w:tblPr>
        <w:tblStyle w:val="46"/>
        <w:tblW w:w="971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2767"/>
        <w:gridCol w:w="4057"/>
        <w:gridCol w:w="2890"/>
      </w:tblGrid>
      <w:tr>
        <w:trPr>
          <w:trHeight w:val="367" w:hRule="atLeast"/>
        </w:trPr>
        <w:tc>
          <w:tcPr>
            <w:tcW w:w="276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業種（※）</w:t>
            </w:r>
          </w:p>
        </w:tc>
        <w:tc>
          <w:tcPr>
            <w:tcW w:w="4057"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最近１年間の売上（単位　円）</w:t>
            </w:r>
          </w:p>
        </w:tc>
        <w:tc>
          <w:tcPr>
            <w:tcW w:w="289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構成比（％）</w:t>
            </w:r>
          </w:p>
        </w:tc>
      </w:tr>
      <w:tr>
        <w:trPr>
          <w:trHeight w:val="371" w:hRule="atLeast"/>
        </w:trPr>
        <w:tc>
          <w:tcPr>
            <w:tcW w:w="2767"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left"/>
              <w:rPr>
                <w:rFonts w:hint="default"/>
              </w:rPr>
            </w:pPr>
            <w:r>
              <w:rPr>
                <w:rFonts w:hint="eastAsia"/>
              </w:rPr>
              <w:t>例：○○業</w:t>
            </w:r>
          </w:p>
        </w:tc>
        <w:tc>
          <w:tcPr>
            <w:tcW w:w="4057"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○○円　　　</w:t>
            </w:r>
          </w:p>
        </w:tc>
        <w:tc>
          <w:tcPr>
            <w:tcW w:w="289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05" w:hRule="atLeast"/>
        </w:trPr>
        <w:tc>
          <w:tcPr>
            <w:tcW w:w="2767"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34"/>
              <w:rPr>
                <w:rFonts w:hint="default"/>
              </w:rPr>
            </w:pPr>
            <w:r>
              <w:rPr>
                <w:rFonts w:hint="eastAsia"/>
              </w:rPr>
              <w:t>例：△△業　</w:t>
            </w:r>
          </w:p>
        </w:tc>
        <w:tc>
          <w:tcPr>
            <w:tcW w:w="4057"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890"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24" w:hRule="atLeast"/>
        </w:trPr>
        <w:tc>
          <w:tcPr>
            <w:tcW w:w="2767"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057"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89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76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05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8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767"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05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890"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767"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05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890"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09" w:hRule="atLeast"/>
        </w:trPr>
        <w:tc>
          <w:tcPr>
            <w:tcW w:w="2767" w:type="dxa"/>
            <w:tcBorders>
              <w:top w:val="single" w:color="auto" w:sz="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企業全体の売上</w:t>
            </w:r>
          </w:p>
        </w:tc>
        <w:tc>
          <w:tcPr>
            <w:tcW w:w="4057" w:type="dxa"/>
            <w:tcBorders>
              <w:top w:val="single" w:color="auto" w:sz="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rPr>
            </w:pPr>
            <w:r>
              <w:rPr>
                <w:rFonts w:hint="eastAsia"/>
              </w:rPr>
              <w:t>円　　　</w:t>
            </w:r>
          </w:p>
        </w:tc>
        <w:tc>
          <w:tcPr>
            <w:tcW w:w="2890" w:type="dxa"/>
            <w:tcBorders>
              <w:top w:val="single" w:color="auto" w:sz="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right"/>
              <w:rPr>
                <w:rFonts w:hint="default"/>
              </w:rPr>
            </w:pPr>
            <w:r>
              <w:rPr>
                <w:rFonts w:hint="eastAsia"/>
              </w:rPr>
              <w:t>１００％</w:t>
            </w:r>
          </w:p>
        </w:tc>
      </w:tr>
    </w:tbl>
    <w:p>
      <w:pPr>
        <w:pStyle w:val="24"/>
        <w:numPr>
          <w:numId w:val="0"/>
        </w:numPr>
        <w:spacing w:line="0" w:lineRule="atLeast"/>
        <w:ind w:left="851" w:leftChars="0" w:firstLine="0" w:firstLineChars="0"/>
        <w:rPr>
          <w:rFonts w:hint="default"/>
          <w:sz w:val="18"/>
        </w:rPr>
      </w:pPr>
      <w:r>
        <w:rPr>
          <w:rFonts w:hint="eastAsia"/>
          <w:sz w:val="18"/>
        </w:rPr>
        <w:t>※業種欄には日本標準産業分類の細分類番号と細分類業種名を記載。</w:t>
      </w:r>
    </w:p>
    <w:p>
      <w:pPr>
        <w:pStyle w:val="25"/>
        <w:spacing w:line="0" w:lineRule="atLeast"/>
        <w:jc w:val="center"/>
        <w:rPr>
          <w:rFonts w:hint="default"/>
          <w:sz w:val="21"/>
        </w:rPr>
      </w:pPr>
    </w:p>
    <w:tbl>
      <w:tblPr>
        <w:tblStyle w:val="46"/>
        <w:tblpPr w:leftFromText="0" w:rightFromText="0" w:topFromText="0" w:bottomFromText="0" w:vertAnchor="text" w:horzAnchor="margin" w:tblpX="75" w:tblpY="354"/>
        <w:tblOverlap w:val="never"/>
        <w:tblW w:w="9678" w:type="dxa"/>
        <w:tblLayout w:type="fixed"/>
        <w:tblLook w:firstRow="1" w:lastRow="0" w:firstColumn="1" w:lastColumn="0" w:noHBand="0" w:noVBand="1" w:val="04A0"/>
      </w:tblPr>
      <w:tblGrid>
        <w:gridCol w:w="6015"/>
        <w:gridCol w:w="3663"/>
      </w:tblGrid>
      <w:tr>
        <w:trPr>
          <w:trHeight w:val="394"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企業全体の最近１か月間の売上原価【</w:t>
            </w:r>
            <w:r>
              <w:rPr>
                <w:rFonts w:hint="eastAsia" w:ascii="ＭＳ ゴシック" w:hAnsi="ＭＳ ゴシック" w:eastAsia="ＭＳ ゴシック"/>
                <w:sz w:val="22"/>
              </w:rPr>
              <w:t>a</w:t>
            </w:r>
            <w:r>
              <w:rPr>
                <w:rFonts w:hint="eastAsia" w:ascii="ＭＳ ゴシック" w:hAnsi="ＭＳ ゴシック" w:eastAsia="ＭＳ ゴシック"/>
                <w:sz w:val="22"/>
              </w:rPr>
              <w:t>】</w:t>
            </w:r>
          </w:p>
        </w:tc>
        <w:tc>
          <w:tcPr>
            <w:tcW w:w="3663" w:type="dxa"/>
            <w:vAlign w:val="center"/>
          </w:tcPr>
          <w:p>
            <w:pPr>
              <w:pStyle w:val="0"/>
              <w:widowControl w:val="1"/>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r>
        <w:trPr>
          <w:trHeight w:val="396"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指定業種の最近１か月間の売上原価【</w:t>
            </w:r>
            <w:r>
              <w:rPr>
                <w:rFonts w:hint="eastAsia" w:ascii="ＭＳ ゴシック" w:hAnsi="ＭＳ ゴシック" w:eastAsia="ＭＳ ゴシック"/>
                <w:sz w:val="22"/>
              </w:rPr>
              <w:t>b</w:t>
            </w:r>
            <w:r>
              <w:rPr>
                <w:rFonts w:hint="eastAsia" w:ascii="ＭＳ ゴシック" w:hAnsi="ＭＳ ゴシック" w:eastAsia="ＭＳ ゴシック"/>
                <w:sz w:val="22"/>
              </w:rPr>
              <w:t>】</w:t>
            </w:r>
          </w:p>
        </w:tc>
        <w:tc>
          <w:tcPr>
            <w:tcW w:w="3663" w:type="dxa"/>
            <w:vAlign w:val="center"/>
          </w:tcPr>
          <w:p>
            <w:pPr>
              <w:pStyle w:val="0"/>
              <w:widowControl w:val="1"/>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r>
        <w:trPr>
          <w:trHeight w:val="395" w:hRule="atLeast"/>
        </w:trPr>
        <w:tc>
          <w:tcPr>
            <w:tcW w:w="6015" w:type="dxa"/>
            <w:shd w:val="clear" w:color="auto" w:themeFill="background2" w:themeFillTint="FF" w:themeFillShade="E6"/>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b</w:t>
            </w:r>
            <w:r>
              <w:rPr>
                <w:rFonts w:hint="eastAsia" w:ascii="ＭＳ ゴシック" w:hAnsi="ＭＳ ゴシック" w:eastAsia="ＭＳ ゴシック"/>
                <w:sz w:val="22"/>
              </w:rPr>
              <w:t>】</w:t>
            </w:r>
            <w:r>
              <w:rPr>
                <w:rFonts w:hint="eastAsia" w:ascii="ＭＳ ゴシック" w:hAnsi="ＭＳ ゴシック" w:eastAsia="ＭＳ ゴシック"/>
                <w:sz w:val="22"/>
              </w:rPr>
              <w:t>/</w:t>
            </w:r>
            <w:r>
              <w:rPr>
                <w:rFonts w:hint="eastAsia" w:ascii="ＭＳ ゴシック" w:hAnsi="ＭＳ ゴシック" w:eastAsia="ＭＳ ゴシック"/>
                <w:sz w:val="22"/>
              </w:rPr>
              <w:t>【</w:t>
            </w:r>
            <w:r>
              <w:rPr>
                <w:rFonts w:hint="eastAsia" w:ascii="ＭＳ ゴシック" w:hAnsi="ＭＳ ゴシック" w:eastAsia="ＭＳ ゴシック"/>
                <w:sz w:val="22"/>
              </w:rPr>
              <w:t>a</w:t>
            </w:r>
            <w:r>
              <w:rPr>
                <w:rFonts w:hint="eastAsia" w:ascii="ＭＳ ゴシック" w:hAnsi="ＭＳ ゴシック" w:eastAsia="ＭＳ ゴシック"/>
                <w:sz w:val="22"/>
              </w:rPr>
              <w:t>】×</w:t>
            </w:r>
            <w:r>
              <w:rPr>
                <w:rFonts w:hint="eastAsia" w:ascii="ＭＳ ゴシック" w:hAnsi="ＭＳ ゴシック" w:eastAsia="ＭＳ ゴシック"/>
                <w:sz w:val="22"/>
              </w:rPr>
              <w:t>100</w:t>
            </w:r>
          </w:p>
        </w:tc>
        <w:tc>
          <w:tcPr>
            <w:tcW w:w="3663" w:type="dxa"/>
            <w:vAlign w:val="center"/>
          </w:tcPr>
          <w:p>
            <w:pPr>
              <w:pStyle w:val="0"/>
              <w:widowControl w:val="1"/>
              <w:jc w:val="right"/>
              <w:rPr>
                <w:rFonts w:hint="default" w:ascii="ＭＳ ゴシック" w:hAnsi="ＭＳ ゴシック" w:eastAsia="ＭＳ ゴシック"/>
                <w:sz w:val="22"/>
              </w:rPr>
            </w:pPr>
            <w:r>
              <w:rPr>
                <w:rFonts w:hint="eastAsia" w:ascii="ＭＳ ゴシック" w:hAnsi="ＭＳ ゴシック" w:eastAsia="ＭＳ ゴシック"/>
                <w:sz w:val="22"/>
              </w:rPr>
              <w:t>％</w:t>
            </w:r>
          </w:p>
        </w:tc>
      </w:tr>
    </w:tbl>
    <w:p>
      <w:pPr>
        <w:pStyle w:val="0"/>
        <w:rPr>
          <w:rFonts w:hint="default" w:asciiTheme="majorEastAsia" w:hAnsiTheme="majorEastAsia" w:eastAsiaTheme="majorEastAsia"/>
          <w:b w:val="1"/>
          <w:sz w:val="20"/>
        </w:rPr>
      </w:pPr>
      <w:r>
        <w:rPr>
          <w:rFonts w:hint="eastAsia" w:asciiTheme="majorEastAsia" w:hAnsiTheme="majorEastAsia" w:eastAsiaTheme="majorEastAsia"/>
          <w:b w:val="1"/>
          <w:sz w:val="22"/>
        </w:rPr>
        <w:t>（表２：最近１か月間における企業全体の売上原価に占める指定業種の売上原価の割合）</w:t>
      </w:r>
    </w:p>
    <w:p>
      <w:pPr>
        <w:pStyle w:val="0"/>
        <w:rPr>
          <w:rFonts w:hint="default"/>
          <w:sz w:val="14"/>
        </w:rPr>
      </w:pPr>
    </w:p>
    <w:p>
      <w:pPr>
        <w:pStyle w:val="0"/>
        <w:jc w:val="left"/>
        <w:rPr>
          <w:rFonts w:hint="default"/>
          <w:sz w:val="22"/>
        </w:rPr>
      </w:pPr>
    </w:p>
    <w:p>
      <w:pPr>
        <w:pStyle w:val="0"/>
        <w:jc w:val="left"/>
        <w:rPr>
          <w:rFonts w:hint="default"/>
          <w:sz w:val="22"/>
        </w:rPr>
      </w:pPr>
    </w:p>
    <w:p>
      <w:pPr>
        <w:pStyle w:val="0"/>
        <w:jc w:val="left"/>
        <w:rPr>
          <w:rFonts w:hint="default"/>
          <w:sz w:val="28"/>
        </w:rPr>
      </w:pPr>
    </w:p>
    <w:p>
      <w:pPr>
        <w:pStyle w:val="0"/>
        <w:jc w:val="left"/>
        <w:rPr>
          <w:rFonts w:hint="default"/>
          <w:sz w:val="22"/>
        </w:rPr>
      </w:pPr>
      <w:r>
        <w:rPr>
          <w:rFonts w:hint="eastAsia" w:asciiTheme="majorEastAsia" w:hAnsiTheme="majorEastAsia" w:eastAsiaTheme="majorEastAsia"/>
          <w:b w:val="1"/>
          <w:sz w:val="22"/>
        </w:rPr>
        <w:t>（表３：指定業種に係る原油等の最近１か月間の仕入単価の上昇）</w:t>
      </w:r>
    </w:p>
    <w:tbl>
      <w:tblPr>
        <w:tblStyle w:val="11"/>
        <w:tblW w:w="971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384"/>
        <w:gridCol w:w="2693"/>
        <w:gridCol w:w="2552"/>
        <w:gridCol w:w="3085"/>
      </w:tblGrid>
      <w:tr>
        <w:trPr>
          <w:trHeight w:val="300" w:hRule="atLeast"/>
        </w:trPr>
        <w:tc>
          <w:tcPr>
            <w:tcW w:w="1384"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16"/>
              </w:rPr>
            </w:pPr>
          </w:p>
        </w:tc>
        <w:tc>
          <w:tcPr>
            <w:tcW w:w="2693"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22"/>
              </w:rPr>
            </w:pPr>
            <w:r>
              <w:rPr>
                <w:rFonts w:hint="eastAsia"/>
                <w:sz w:val="22"/>
              </w:rPr>
              <w:t>原油等の最近</w:t>
            </w:r>
            <w:r>
              <w:rPr>
                <w:rFonts w:hint="eastAsia"/>
                <w:sz w:val="22"/>
              </w:rPr>
              <w:t>1</w:t>
            </w:r>
            <w:r>
              <w:rPr>
                <w:rFonts w:hint="eastAsia"/>
                <w:sz w:val="22"/>
              </w:rPr>
              <w:t>か月間</w:t>
            </w:r>
          </w:p>
          <w:p>
            <w:pPr>
              <w:pStyle w:val="0"/>
              <w:jc w:val="center"/>
              <w:rPr>
                <w:rFonts w:hint="default"/>
                <w:sz w:val="22"/>
              </w:rPr>
            </w:pPr>
            <w:r>
              <w:rPr>
                <w:rFonts w:hint="eastAsia"/>
                <w:sz w:val="22"/>
              </w:rPr>
              <w:t>の平均仕入単価</w:t>
            </w:r>
          </w:p>
        </w:tc>
        <w:tc>
          <w:tcPr>
            <w:tcW w:w="255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top"/>
          </w:tcPr>
          <w:p>
            <w:pPr>
              <w:pStyle w:val="0"/>
              <w:jc w:val="center"/>
              <w:rPr>
                <w:rFonts w:hint="default"/>
                <w:sz w:val="22"/>
              </w:rPr>
            </w:pPr>
            <w:r>
              <w:rPr>
                <w:rFonts w:hint="eastAsia"/>
                <w:sz w:val="22"/>
              </w:rPr>
              <w:t>原油等の前年同月</w:t>
            </w:r>
          </w:p>
          <w:p>
            <w:pPr>
              <w:pStyle w:val="0"/>
              <w:jc w:val="center"/>
              <w:rPr>
                <w:rFonts w:hint="default"/>
                <w:sz w:val="22"/>
              </w:rPr>
            </w:pPr>
            <w:r>
              <w:rPr>
                <w:rFonts w:hint="eastAsia"/>
                <w:sz w:val="22"/>
              </w:rPr>
              <w:t>の平均仕入単価</w:t>
            </w:r>
          </w:p>
        </w:tc>
        <w:tc>
          <w:tcPr>
            <w:tcW w:w="3085"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top"/>
          </w:tcPr>
          <w:p>
            <w:pPr>
              <w:pStyle w:val="0"/>
              <w:jc w:val="center"/>
              <w:rPr>
                <w:rFonts w:hint="default"/>
                <w:sz w:val="22"/>
              </w:rPr>
            </w:pPr>
            <w:r>
              <w:rPr>
                <w:rFonts w:hint="eastAsia"/>
                <w:sz w:val="22"/>
              </w:rPr>
              <w:t>原油等の仕入単価の上昇率</w:t>
            </w:r>
          </w:p>
          <w:p>
            <w:pPr>
              <w:pStyle w:val="0"/>
              <w:jc w:val="center"/>
              <w:rPr>
                <w:rFonts w:hint="default"/>
                <w:sz w:val="22"/>
              </w:rPr>
            </w:pPr>
            <w:r>
              <w:rPr>
                <w:rFonts w:hint="eastAsia"/>
                <w:sz w:val="22"/>
              </w:rPr>
              <w:t>（Ｅ</w:t>
            </w:r>
            <w:r>
              <w:rPr>
                <w:rFonts w:hint="eastAsia"/>
                <w:sz w:val="22"/>
              </w:rPr>
              <w:t>/</w:t>
            </w:r>
            <w:r>
              <w:rPr>
                <w:rFonts w:hint="eastAsia"/>
                <w:sz w:val="22"/>
              </w:rPr>
              <w:t>ｅ×</w:t>
            </w:r>
            <w:r>
              <w:rPr>
                <w:rFonts w:hint="eastAsia"/>
                <w:sz w:val="22"/>
              </w:rPr>
              <w:t>100</w:t>
            </w:r>
            <w:r>
              <w:rPr>
                <w:rFonts w:hint="eastAsia"/>
                <w:sz w:val="22"/>
              </w:rPr>
              <w:t>－</w:t>
            </w:r>
            <w:r>
              <w:rPr>
                <w:rFonts w:hint="eastAsia"/>
                <w:sz w:val="22"/>
              </w:rPr>
              <w:t>100</w:t>
            </w:r>
            <w:r>
              <w:rPr>
                <w:rFonts w:hint="eastAsia"/>
                <w:sz w:val="22"/>
              </w:rPr>
              <w:t>）</w:t>
            </w:r>
          </w:p>
        </w:tc>
      </w:tr>
      <w:tr>
        <w:trPr>
          <w:trHeight w:val="543" w:hRule="atLeast"/>
        </w:trPr>
        <w:tc>
          <w:tcPr>
            <w:tcW w:w="138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指定業種</w:t>
            </w:r>
          </w:p>
        </w:tc>
        <w:tc>
          <w:tcPr>
            <w:tcW w:w="2693"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円【Ｅ】</w:t>
            </w:r>
          </w:p>
        </w:tc>
        <w:tc>
          <w:tcPr>
            <w:tcW w:w="255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円【ｅ】</w:t>
            </w:r>
          </w:p>
        </w:tc>
        <w:tc>
          <w:tcPr>
            <w:tcW w:w="3085"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bl>
    <w:p>
      <w:pPr>
        <w:pStyle w:val="0"/>
        <w:spacing w:line="0" w:lineRule="atLeast"/>
        <w:rPr>
          <w:rFonts w:hint="default" w:asciiTheme="majorEastAsia" w:hAnsiTheme="majorEastAsia" w:eastAsiaTheme="majorEastAsia"/>
          <w:b w:val="1"/>
          <w:sz w:val="18"/>
        </w:rPr>
      </w:pPr>
    </w:p>
    <w:p>
      <w:pPr>
        <w:pStyle w:val="0"/>
        <w:rPr>
          <w:rFonts w:hint="default"/>
          <w:u w:val="dotDash" w:color="auto"/>
        </w:rPr>
      </w:pPr>
      <w:r>
        <w:rPr>
          <w:rFonts w:hint="eastAsia" w:asciiTheme="majorEastAsia" w:hAnsiTheme="majorEastAsia" w:eastAsiaTheme="majorEastAsia"/>
          <w:b w:val="1"/>
          <w:sz w:val="22"/>
        </w:rPr>
        <w:t>（表４：指定業種及び企業全体それぞれの売上原価に占める原油等の仕入価格の割合）</w:t>
      </w:r>
    </w:p>
    <w:tbl>
      <w:tblPr>
        <w:tblStyle w:val="11"/>
        <w:tblW w:w="971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384"/>
        <w:gridCol w:w="2552"/>
        <w:gridCol w:w="2693"/>
        <w:gridCol w:w="3085"/>
      </w:tblGrid>
      <w:tr>
        <w:trPr>
          <w:trHeight w:val="300" w:hRule="atLeast"/>
        </w:trPr>
        <w:tc>
          <w:tcPr>
            <w:tcW w:w="1384"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16"/>
              </w:rPr>
            </w:pPr>
          </w:p>
        </w:tc>
        <w:tc>
          <w:tcPr>
            <w:tcW w:w="255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22"/>
              </w:rPr>
            </w:pPr>
            <w:r>
              <w:rPr>
                <w:rFonts w:hint="eastAsia"/>
                <w:sz w:val="22"/>
              </w:rPr>
              <w:t>最近１か月間の</w:t>
            </w:r>
          </w:p>
          <w:p>
            <w:pPr>
              <w:pStyle w:val="0"/>
              <w:jc w:val="center"/>
              <w:rPr>
                <w:rFonts w:hint="default"/>
                <w:sz w:val="22"/>
              </w:rPr>
            </w:pPr>
            <w:r>
              <w:rPr>
                <w:rFonts w:hint="eastAsia"/>
                <w:sz w:val="22"/>
              </w:rPr>
              <w:t>売上原価</w:t>
            </w:r>
          </w:p>
        </w:tc>
        <w:tc>
          <w:tcPr>
            <w:tcW w:w="2693"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22"/>
              </w:rPr>
            </w:pPr>
            <w:r>
              <w:rPr>
                <w:rFonts w:hint="eastAsia"/>
                <w:sz w:val="22"/>
              </w:rPr>
              <w:t>最近１か月間の売上原価に対応する</w:t>
            </w:r>
          </w:p>
          <w:p>
            <w:pPr>
              <w:pStyle w:val="0"/>
              <w:jc w:val="center"/>
              <w:rPr>
                <w:rFonts w:hint="default"/>
                <w:sz w:val="22"/>
              </w:rPr>
            </w:pPr>
            <w:r>
              <w:rPr>
                <w:rFonts w:hint="eastAsia"/>
                <w:sz w:val="22"/>
              </w:rPr>
              <w:t>原油等の仕入価格</w:t>
            </w:r>
          </w:p>
        </w:tc>
        <w:tc>
          <w:tcPr>
            <w:tcW w:w="3085"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22"/>
              </w:rPr>
            </w:pPr>
            <w:r>
              <w:rPr>
                <w:rFonts w:hint="eastAsia"/>
                <w:sz w:val="22"/>
              </w:rPr>
              <w:t>売上原価に占める原油等の</w:t>
            </w:r>
          </w:p>
          <w:p>
            <w:pPr>
              <w:pStyle w:val="0"/>
              <w:jc w:val="center"/>
              <w:rPr>
                <w:rFonts w:hint="default"/>
                <w:sz w:val="22"/>
              </w:rPr>
            </w:pPr>
            <w:r>
              <w:rPr>
                <w:rFonts w:hint="eastAsia"/>
                <w:sz w:val="22"/>
              </w:rPr>
              <w:t>仕入価格の割合</w:t>
            </w:r>
          </w:p>
          <w:p>
            <w:pPr>
              <w:pStyle w:val="0"/>
              <w:jc w:val="center"/>
              <w:rPr>
                <w:rFonts w:hint="default"/>
                <w:sz w:val="22"/>
              </w:rPr>
            </w:pPr>
            <w:r>
              <w:rPr>
                <w:rFonts w:hint="eastAsia"/>
                <w:sz w:val="22"/>
              </w:rPr>
              <w:t>（Ｓ</w:t>
            </w:r>
            <w:r>
              <w:rPr>
                <w:rFonts w:hint="eastAsia"/>
                <w:sz w:val="22"/>
              </w:rPr>
              <w:t>/</w:t>
            </w:r>
            <w:r>
              <w:rPr>
                <w:rFonts w:hint="eastAsia"/>
                <w:sz w:val="22"/>
              </w:rPr>
              <w:t>Ｃ×</w:t>
            </w:r>
            <w:r>
              <w:rPr>
                <w:rFonts w:hint="eastAsia"/>
                <w:sz w:val="22"/>
              </w:rPr>
              <w:t>100</w:t>
            </w:r>
            <w:r>
              <w:rPr>
                <w:rFonts w:hint="eastAsia"/>
                <w:sz w:val="22"/>
              </w:rPr>
              <w:t>）</w:t>
            </w:r>
          </w:p>
        </w:tc>
      </w:tr>
      <w:tr>
        <w:trPr>
          <w:trHeight w:val="486" w:hRule="atLeast"/>
        </w:trPr>
        <w:tc>
          <w:tcPr>
            <w:tcW w:w="1384"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指定業種</w:t>
            </w:r>
          </w:p>
        </w:tc>
        <w:tc>
          <w:tcPr>
            <w:tcW w:w="255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rPr>
            </w:pPr>
            <w:r>
              <w:rPr>
                <w:rFonts w:hint="eastAsia"/>
              </w:rPr>
              <w:t>円【Ｃ】</w:t>
            </w:r>
          </w:p>
        </w:tc>
        <w:tc>
          <w:tcPr>
            <w:tcW w:w="269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rPr>
            </w:pPr>
            <w:r>
              <w:rPr>
                <w:rFonts w:hint="eastAsia"/>
              </w:rPr>
              <w:t>円【Ｓ】</w:t>
            </w:r>
          </w:p>
        </w:tc>
        <w:tc>
          <w:tcPr>
            <w:tcW w:w="308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86" w:hRule="atLeast"/>
        </w:trPr>
        <w:tc>
          <w:tcPr>
            <w:tcW w:w="138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企業全体</w:t>
            </w:r>
          </w:p>
        </w:tc>
        <w:tc>
          <w:tcPr>
            <w:tcW w:w="255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円【Ｃ】</w:t>
            </w:r>
          </w:p>
        </w:tc>
        <w:tc>
          <w:tcPr>
            <w:tcW w:w="2693"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円【Ｓ】</w:t>
            </w:r>
          </w:p>
        </w:tc>
        <w:tc>
          <w:tcPr>
            <w:tcW w:w="3085"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bl>
    <w:p>
      <w:pPr>
        <w:pStyle w:val="0"/>
        <w:spacing w:line="0" w:lineRule="atLeast"/>
        <w:rPr>
          <w:rFonts w:hint="default"/>
          <w:sz w:val="22"/>
          <w:u w:val="dotDash" w:color="auto"/>
        </w:rPr>
      </w:pPr>
    </w:p>
    <w:p>
      <w:pPr>
        <w:pStyle w:val="0"/>
        <w:spacing w:line="0" w:lineRule="atLeast"/>
        <w:rPr>
          <w:rFonts w:hint="default"/>
          <w:sz w:val="22"/>
          <w:u w:val="dotDash" w:color="auto"/>
        </w:rPr>
      </w:pPr>
    </w:p>
    <w:p>
      <w:pPr>
        <w:pStyle w:val="0"/>
        <w:spacing w:line="0" w:lineRule="atLeast"/>
        <w:rPr>
          <w:rFonts w:hint="default"/>
          <w:sz w:val="22"/>
          <w:u w:val="dotDash" w:color="auto"/>
        </w:rPr>
      </w:pPr>
    </w:p>
    <w:p>
      <w:pPr>
        <w:pStyle w:val="0"/>
        <w:spacing w:line="0" w:lineRule="atLeast"/>
        <w:rPr>
          <w:rFonts w:hint="default"/>
          <w:sz w:val="22"/>
          <w:u w:val="dotDash" w:color="auto"/>
        </w:rPr>
      </w:pPr>
    </w:p>
    <w:p>
      <w:pPr>
        <w:pStyle w:val="0"/>
        <w:spacing w:line="0" w:lineRule="atLeast"/>
        <w:rPr>
          <w:rFonts w:hint="default"/>
          <w:sz w:val="22"/>
          <w:u w:val="dotDash" w:color="auto"/>
        </w:rPr>
      </w:pPr>
    </w:p>
    <w:p>
      <w:pPr>
        <w:pStyle w:val="0"/>
        <w:spacing w:line="0" w:lineRule="atLeast"/>
        <w:rPr>
          <w:rFonts w:hint="default"/>
          <w:sz w:val="22"/>
          <w:u w:val="dotDash" w:color="auto"/>
        </w:rPr>
      </w:pPr>
    </w:p>
    <w:p>
      <w:pPr>
        <w:pStyle w:val="0"/>
        <w:spacing w:line="0" w:lineRule="atLeast"/>
        <w:rPr>
          <w:rFonts w:hint="default"/>
          <w:sz w:val="22"/>
          <w:u w:val="dotDash" w:color="auto"/>
        </w:rPr>
      </w:pPr>
    </w:p>
    <w:p>
      <w:pPr>
        <w:pStyle w:val="0"/>
        <w:spacing w:line="0" w:lineRule="atLeast"/>
        <w:rPr>
          <w:rFonts w:hint="default"/>
          <w:sz w:val="22"/>
          <w:u w:val="dotDash" w:color="auto"/>
        </w:rPr>
      </w:pPr>
    </w:p>
    <w:p>
      <w:pPr>
        <w:pStyle w:val="0"/>
        <w:spacing w:line="0" w:lineRule="atLeast"/>
        <w:rPr>
          <w:rFonts w:hint="default"/>
          <w:sz w:val="22"/>
          <w:u w:val="dotDash" w:color="auto"/>
        </w:rPr>
      </w:pPr>
    </w:p>
    <w:p>
      <w:pPr>
        <w:pStyle w:val="0"/>
        <w:spacing w:line="0" w:lineRule="atLeast"/>
        <w:rPr>
          <w:rFonts w:hint="default"/>
          <w:sz w:val="22"/>
          <w:u w:val="dotDash" w:color="auto"/>
        </w:rPr>
      </w:pPr>
    </w:p>
    <w:p>
      <w:pPr>
        <w:pStyle w:val="0"/>
        <w:spacing w:line="0" w:lineRule="atLeast"/>
        <w:rPr>
          <w:rFonts w:hint="default"/>
          <w:sz w:val="22"/>
          <w:u w:val="none" w:color="auto"/>
        </w:rPr>
      </w:pPr>
    </w:p>
    <w:p>
      <w:pPr>
        <w:pStyle w:val="0"/>
        <w:spacing w:line="0" w:lineRule="atLeast"/>
        <w:jc w:val="right"/>
        <w:rPr>
          <w:rFonts w:hint="default"/>
          <w:sz w:val="22"/>
          <w:u w:val="dotDash" w:color="auto"/>
        </w:rPr>
      </w:pPr>
      <w:r>
        <w:rPr>
          <w:rFonts w:hint="eastAsia"/>
          <w:sz w:val="22"/>
          <w:u w:val="none" w:color="auto"/>
        </w:rPr>
        <w:t>裏面もご記入ください。</w:t>
      </w:r>
    </w:p>
    <w:p>
      <w:pPr>
        <w:pStyle w:val="0"/>
        <w:spacing w:line="0" w:lineRule="atLeast"/>
        <w:rPr>
          <w:rFonts w:hint="default"/>
          <w:sz w:val="22"/>
          <w:u w:val="dotDash" w:color="auto"/>
        </w:rPr>
      </w:pPr>
    </w:p>
    <w:p>
      <w:pPr>
        <w:pStyle w:val="0"/>
        <w:rPr>
          <w:rFonts w:hint="default"/>
          <w:u w:val="dotDash" w:color="auto"/>
        </w:rPr>
      </w:pPr>
      <w:r>
        <w:rPr>
          <w:rFonts w:hint="eastAsia" w:asciiTheme="majorEastAsia" w:hAnsiTheme="majorEastAsia" w:eastAsiaTheme="majorEastAsia"/>
          <w:b w:val="1"/>
          <w:sz w:val="22"/>
        </w:rPr>
        <w:t>（表５：指定業種及び企業全体それぞれの製品等価格への転嫁の状況）</w:t>
      </w:r>
    </w:p>
    <w:tbl>
      <w:tblPr>
        <w:tblStyle w:val="11"/>
        <w:tblW w:w="97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384"/>
        <w:gridCol w:w="2552"/>
        <w:gridCol w:w="2693"/>
        <w:gridCol w:w="3118"/>
      </w:tblGrid>
      <w:tr>
        <w:trPr>
          <w:trHeight w:val="300" w:hRule="atLeast"/>
        </w:trPr>
        <w:tc>
          <w:tcPr>
            <w:tcW w:w="1384" w:type="dxa"/>
            <w:vMerge w:val="restart"/>
            <w:shd w:val="clear" w:color="auto" w:fill="DDD9C3"/>
            <w:vAlign w:val="center"/>
          </w:tcPr>
          <w:p>
            <w:pPr>
              <w:pStyle w:val="0"/>
              <w:jc w:val="center"/>
              <w:rPr>
                <w:rFonts w:hint="default"/>
                <w:sz w:val="16"/>
              </w:rPr>
            </w:pPr>
            <w:r>
              <w:rPr>
                <w:rFonts w:hint="eastAsia"/>
                <w:sz w:val="22"/>
              </w:rPr>
              <w:t>指定業種</w:t>
            </w:r>
          </w:p>
        </w:tc>
        <w:tc>
          <w:tcPr>
            <w:tcW w:w="255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最近３か月間の</w:t>
            </w:r>
          </w:p>
          <w:p>
            <w:pPr>
              <w:pStyle w:val="0"/>
              <w:jc w:val="center"/>
              <w:rPr>
                <w:rFonts w:hint="default"/>
              </w:rPr>
            </w:pPr>
            <w:r>
              <w:rPr>
                <w:rFonts w:hint="eastAsia"/>
              </w:rPr>
              <w:t>原油等の仕入価格</w:t>
            </w:r>
          </w:p>
        </w:tc>
        <w:tc>
          <w:tcPr>
            <w:tcW w:w="2693"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最近３か月間の売上高</w:t>
            </w:r>
          </w:p>
        </w:tc>
        <w:tc>
          <w:tcPr>
            <w:tcW w:w="311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（Ａ</w:t>
            </w:r>
            <w:r>
              <w:rPr>
                <w:rFonts w:hint="eastAsia"/>
              </w:rPr>
              <w:t>/</w:t>
            </w:r>
            <w:r>
              <w:rPr>
                <w:rFonts w:hint="eastAsia"/>
              </w:rPr>
              <w:t>Ｂ）</w:t>
            </w:r>
          </w:p>
        </w:tc>
      </w:tr>
      <w:tr>
        <w:trPr>
          <w:trHeight w:val="501" w:hRule="atLeast"/>
        </w:trPr>
        <w:tc>
          <w:tcPr>
            <w:tcW w:w="1384" w:type="dxa"/>
            <w:vMerge w:val="continue"/>
            <w:vAlign w:val="center"/>
          </w:tcPr>
          <w:p>
            <w:pPr>
              <w:pStyle w:val="0"/>
              <w:rPr>
                <w:rFonts w:hint="eastAsia"/>
              </w:rPr>
            </w:pPr>
          </w:p>
        </w:tc>
        <w:tc>
          <w:tcPr>
            <w:tcW w:w="255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rPr>
            </w:pPr>
            <w:r>
              <w:rPr>
                <w:rFonts w:hint="eastAsia"/>
              </w:rPr>
              <w:t>円【Ａ】</w:t>
            </w:r>
          </w:p>
        </w:tc>
        <w:tc>
          <w:tcPr>
            <w:tcW w:w="269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rPr>
            </w:pPr>
            <w:r>
              <w:rPr>
                <w:rFonts w:hint="eastAsia"/>
              </w:rPr>
              <w:t>円【Ｂ】</w:t>
            </w:r>
          </w:p>
        </w:tc>
        <w:tc>
          <w:tcPr>
            <w:tcW w:w="3118"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jc w:val="right"/>
              <w:rPr>
                <w:rFonts w:hint="default"/>
              </w:rPr>
            </w:pPr>
          </w:p>
        </w:tc>
      </w:tr>
      <w:tr>
        <w:trPr>
          <w:trHeight w:val="300" w:hRule="atLeast"/>
        </w:trPr>
        <w:tc>
          <w:tcPr>
            <w:tcW w:w="1384" w:type="dxa"/>
            <w:vMerge w:val="continue"/>
            <w:shd w:val="clear" w:color="auto" w:fill="DDD9C3"/>
            <w:vAlign w:val="center"/>
          </w:tcPr>
          <w:p>
            <w:pPr>
              <w:pStyle w:val="0"/>
              <w:rPr>
                <w:rFonts w:hint="eastAsia"/>
              </w:rPr>
            </w:pPr>
          </w:p>
        </w:tc>
        <w:tc>
          <w:tcPr>
            <w:tcW w:w="255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前年同期の</w:t>
            </w:r>
          </w:p>
          <w:p>
            <w:pPr>
              <w:pStyle w:val="0"/>
              <w:jc w:val="center"/>
              <w:rPr>
                <w:rFonts w:hint="default"/>
              </w:rPr>
            </w:pPr>
            <w:r>
              <w:rPr>
                <w:rFonts w:hint="eastAsia"/>
              </w:rPr>
              <w:t>原油等の仕入価格</w:t>
            </w:r>
          </w:p>
        </w:tc>
        <w:tc>
          <w:tcPr>
            <w:tcW w:w="2693"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前年同期の売上高</w:t>
            </w:r>
          </w:p>
        </w:tc>
        <w:tc>
          <w:tcPr>
            <w:tcW w:w="311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（ａ</w:t>
            </w:r>
            <w:r>
              <w:rPr>
                <w:rFonts w:hint="eastAsia"/>
              </w:rPr>
              <w:t>/</w:t>
            </w:r>
            <w:r>
              <w:rPr>
                <w:rFonts w:hint="eastAsia"/>
              </w:rPr>
              <w:t>ｂ）</w:t>
            </w:r>
          </w:p>
        </w:tc>
      </w:tr>
      <w:tr>
        <w:trPr>
          <w:trHeight w:val="519" w:hRule="atLeast"/>
        </w:trPr>
        <w:tc>
          <w:tcPr>
            <w:tcW w:w="13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2552"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円【ａ】</w:t>
            </w:r>
          </w:p>
        </w:tc>
        <w:tc>
          <w:tcPr>
            <w:tcW w:w="2693"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円【ｂ】</w:t>
            </w:r>
          </w:p>
        </w:tc>
        <w:tc>
          <w:tcPr>
            <w:tcW w:w="3118"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top"/>
          </w:tcPr>
          <w:p>
            <w:pPr>
              <w:pStyle w:val="0"/>
              <w:jc w:val="right"/>
              <w:rPr>
                <w:rFonts w:hint="default"/>
              </w:rPr>
            </w:pPr>
          </w:p>
        </w:tc>
      </w:tr>
    </w:tbl>
    <w:p>
      <w:pPr>
        <w:pStyle w:val="0"/>
        <w:rPr>
          <w:rFonts w:hint="default" w:ascii="ＭＳ ゴシック" w:hAnsi="ＭＳ ゴシック" w:eastAsia="ＭＳ ゴシック"/>
          <w:color w:val="000000"/>
          <w:spacing w:val="-10"/>
          <w:kern w:val="0"/>
        </w:rPr>
      </w:pPr>
    </w:p>
    <w:tbl>
      <w:tblPr>
        <w:tblStyle w:val="11"/>
        <w:tblW w:w="97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384"/>
        <w:gridCol w:w="2552"/>
        <w:gridCol w:w="2693"/>
        <w:gridCol w:w="3118"/>
      </w:tblGrid>
      <w:tr>
        <w:trPr>
          <w:trHeight w:val="549" w:hRule="atLeast"/>
        </w:trPr>
        <w:tc>
          <w:tcPr>
            <w:tcW w:w="1384" w:type="dxa"/>
            <w:vMerge w:val="restart"/>
            <w:shd w:val="clear" w:color="auto" w:fill="DDD9C3"/>
            <w:vAlign w:val="center"/>
          </w:tcPr>
          <w:p>
            <w:pPr>
              <w:pStyle w:val="0"/>
              <w:jc w:val="center"/>
              <w:rPr>
                <w:rFonts w:hint="default"/>
                <w:sz w:val="16"/>
              </w:rPr>
            </w:pPr>
            <w:r>
              <w:rPr>
                <w:rFonts w:hint="eastAsia"/>
                <w:sz w:val="22"/>
              </w:rPr>
              <w:t>企業全体</w:t>
            </w:r>
          </w:p>
        </w:tc>
        <w:tc>
          <w:tcPr>
            <w:tcW w:w="255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最近３か月間の</w:t>
            </w:r>
          </w:p>
          <w:p>
            <w:pPr>
              <w:pStyle w:val="0"/>
              <w:jc w:val="center"/>
              <w:rPr>
                <w:rFonts w:hint="default"/>
              </w:rPr>
            </w:pPr>
            <w:r>
              <w:rPr>
                <w:rFonts w:hint="eastAsia"/>
              </w:rPr>
              <w:t>原油等の仕入価格</w:t>
            </w:r>
          </w:p>
        </w:tc>
        <w:tc>
          <w:tcPr>
            <w:tcW w:w="2693"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最近３か月間の売上高</w:t>
            </w:r>
          </w:p>
        </w:tc>
        <w:tc>
          <w:tcPr>
            <w:tcW w:w="311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（Ａ</w:t>
            </w:r>
            <w:r>
              <w:rPr>
                <w:rFonts w:hint="eastAsia"/>
              </w:rPr>
              <w:t>/</w:t>
            </w:r>
            <w:r>
              <w:rPr>
                <w:rFonts w:hint="eastAsia"/>
              </w:rPr>
              <w:t>Ｂ）</w:t>
            </w:r>
          </w:p>
        </w:tc>
      </w:tr>
      <w:tr>
        <w:trPr>
          <w:trHeight w:val="501" w:hRule="atLeast"/>
        </w:trPr>
        <w:tc>
          <w:tcPr>
            <w:tcW w:w="1384" w:type="dxa"/>
            <w:vMerge w:val="continue"/>
            <w:vAlign w:val="center"/>
          </w:tcPr>
          <w:p>
            <w:pPr>
              <w:pStyle w:val="0"/>
              <w:jc w:val="center"/>
              <w:rPr>
                <w:rFonts w:hint="default"/>
              </w:rPr>
            </w:pPr>
          </w:p>
        </w:tc>
        <w:tc>
          <w:tcPr>
            <w:tcW w:w="255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rPr>
            </w:pPr>
            <w:r>
              <w:rPr>
                <w:rFonts w:hint="eastAsia"/>
              </w:rPr>
              <w:t>円【Ａ】</w:t>
            </w:r>
          </w:p>
        </w:tc>
        <w:tc>
          <w:tcPr>
            <w:tcW w:w="269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rPr>
            </w:pPr>
            <w:r>
              <w:rPr>
                <w:rFonts w:hint="eastAsia"/>
              </w:rPr>
              <w:t>円【Ｂ】</w:t>
            </w:r>
          </w:p>
        </w:tc>
        <w:tc>
          <w:tcPr>
            <w:tcW w:w="3118"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jc w:val="right"/>
              <w:rPr>
                <w:rFonts w:hint="default"/>
              </w:rPr>
            </w:pPr>
          </w:p>
        </w:tc>
      </w:tr>
      <w:tr>
        <w:trPr>
          <w:trHeight w:val="300" w:hRule="atLeast"/>
        </w:trPr>
        <w:tc>
          <w:tcPr>
            <w:tcW w:w="1384" w:type="dxa"/>
            <w:vMerge w:val="continue"/>
            <w:shd w:val="clear" w:color="auto" w:fill="DDD9C3"/>
            <w:vAlign w:val="center"/>
          </w:tcPr>
          <w:p>
            <w:pPr>
              <w:pStyle w:val="0"/>
              <w:jc w:val="center"/>
              <w:rPr>
                <w:rFonts w:hint="default"/>
                <w:sz w:val="16"/>
              </w:rPr>
            </w:pPr>
          </w:p>
        </w:tc>
        <w:tc>
          <w:tcPr>
            <w:tcW w:w="255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前年同期の</w:t>
            </w:r>
          </w:p>
          <w:p>
            <w:pPr>
              <w:pStyle w:val="0"/>
              <w:jc w:val="center"/>
              <w:rPr>
                <w:rFonts w:hint="default"/>
              </w:rPr>
            </w:pPr>
            <w:r>
              <w:rPr>
                <w:rFonts w:hint="eastAsia"/>
              </w:rPr>
              <w:t>原油等の仕入価格</w:t>
            </w:r>
          </w:p>
        </w:tc>
        <w:tc>
          <w:tcPr>
            <w:tcW w:w="2693"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前年同期の売上高</w:t>
            </w:r>
          </w:p>
        </w:tc>
        <w:tc>
          <w:tcPr>
            <w:tcW w:w="311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（ａ</w:t>
            </w:r>
            <w:r>
              <w:rPr>
                <w:rFonts w:hint="eastAsia"/>
              </w:rPr>
              <w:t>/</w:t>
            </w:r>
            <w:r>
              <w:rPr>
                <w:rFonts w:hint="eastAsia"/>
              </w:rPr>
              <w:t>ｂ）</w:t>
            </w:r>
          </w:p>
        </w:tc>
      </w:tr>
      <w:tr>
        <w:trPr>
          <w:trHeight w:val="519" w:hRule="atLeast"/>
        </w:trPr>
        <w:tc>
          <w:tcPr>
            <w:tcW w:w="13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552"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円【ａ】</w:t>
            </w:r>
          </w:p>
        </w:tc>
        <w:tc>
          <w:tcPr>
            <w:tcW w:w="2693"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円【ｂ】</w:t>
            </w:r>
          </w:p>
        </w:tc>
        <w:tc>
          <w:tcPr>
            <w:tcW w:w="3118"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top"/>
          </w:tcPr>
          <w:p>
            <w:pPr>
              <w:pStyle w:val="0"/>
              <w:jc w:val="right"/>
              <w:rPr>
                <w:rFonts w:hint="default"/>
              </w:rPr>
            </w:pPr>
          </w:p>
        </w:tc>
      </w:tr>
    </w:tbl>
    <w:p>
      <w:pPr>
        <w:pStyle w:val="0"/>
        <w:spacing w:line="0" w:lineRule="atLeast"/>
        <w:rPr>
          <w:rFonts w:hint="default" w:ascii="ＭＳ ゴシック" w:hAnsi="ＭＳ ゴシック" w:eastAsia="ＭＳ ゴシック"/>
          <w:color w:val="000000"/>
          <w:spacing w:val="-10"/>
          <w:kern w:val="0"/>
          <w:sz w:val="14"/>
        </w:rPr>
      </w:pPr>
    </w:p>
    <w:tbl>
      <w:tblPr>
        <w:tblStyle w:val="46"/>
        <w:tblpPr w:leftFromText="0" w:rightFromText="0" w:topFromText="0" w:bottomFromText="0" w:vertAnchor="text" w:horzAnchor="margin" w:tblpX="101" w:tblpY="83"/>
        <w:tblOverlap w:val="never"/>
        <w:tblW w:w="9546" w:type="auto"/>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Layout w:type="fixed"/>
        <w:tblLook w:firstRow="1" w:lastRow="0" w:firstColumn="1" w:lastColumn="0" w:noHBand="0" w:noVBand="1" w:val="04A0"/>
      </w:tblPr>
      <w:tblGrid>
        <w:gridCol w:w="4127"/>
        <w:gridCol w:w="5419"/>
      </w:tblGrid>
      <w:tr>
        <w:trPr>
          <w:trHeight w:val="564" w:hRule="atLeast"/>
        </w:trPr>
        <w:tc>
          <w:tcPr>
            <w:tcW w:w="4127" w:type="dxa"/>
            <w:tcBorders>
              <w:top w:val="none" w:color="auto" w:sz="0" w:space="0"/>
              <w:left w:val="none" w:color="auto" w:sz="0" w:space="0"/>
              <w:bottom w:val="none" w:color="auto" w:sz="0" w:space="0"/>
              <w:right w:val="none" w:color="auto" w:sz="0" w:space="0"/>
              <w:tl2br w:val="nil"/>
              <w:tr2bl w:val="nil"/>
            </w:tcBorders>
            <w:shd w:val="clear" w:color="auto" w:themeFill="background2" w:themeFillTint="FF" w:themeFillShade="E6"/>
            <w:vAlign w:val="center"/>
          </w:tcPr>
          <w:p>
            <w:pPr>
              <w:pStyle w:val="0"/>
              <w:jc w:val="center"/>
              <w:rPr>
                <w:rFonts w:hint="default"/>
                <w:b w:val="1"/>
                <w:sz w:val="24"/>
              </w:rPr>
            </w:pPr>
          </w:p>
        </w:tc>
        <w:tc>
          <w:tcPr>
            <w:tcW w:w="5419" w:type="dxa"/>
            <w:tcBorders>
              <w:top w:val="none" w:color="auto" w:sz="0" w:space="0"/>
              <w:left w:val="none" w:color="auto" w:sz="0" w:space="0"/>
              <w:bottom w:val="none" w:color="auto" w:sz="0" w:space="0"/>
              <w:right w:val="none" w:color="auto" w:sz="0" w:space="0"/>
              <w:tl2br w:val="nil"/>
              <w:tr2bl w:val="nil"/>
            </w:tcBorders>
            <w:shd w:val="clear" w:color="auto" w:themeFill="background2" w:themeFillTint="FF" w:themeFillShade="E6"/>
            <w:vAlign w:val="center"/>
          </w:tcPr>
          <w:p>
            <w:pPr>
              <w:pStyle w:val="0"/>
              <w:jc w:val="center"/>
              <w:rPr>
                <w:rFonts w:hint="default"/>
                <w:b w:val="1"/>
                <w:sz w:val="22"/>
              </w:rPr>
            </w:pPr>
            <w:r>
              <w:rPr>
                <w:rFonts w:hint="eastAsia"/>
                <w:b w:val="1"/>
                <w:sz w:val="22"/>
              </w:rPr>
              <w:t>（Ａ</w:t>
            </w:r>
            <w:r>
              <w:rPr>
                <w:rFonts w:hint="eastAsia"/>
                <w:b w:val="1"/>
                <w:sz w:val="22"/>
              </w:rPr>
              <w:t>/</w:t>
            </w:r>
            <w:r>
              <w:rPr>
                <w:rFonts w:hint="eastAsia"/>
                <w:b w:val="1"/>
                <w:sz w:val="22"/>
              </w:rPr>
              <w:t>Ｂ）－（ａ</w:t>
            </w:r>
            <w:r>
              <w:rPr>
                <w:rFonts w:hint="eastAsia"/>
                <w:b w:val="1"/>
                <w:sz w:val="22"/>
              </w:rPr>
              <w:t>/</w:t>
            </w:r>
            <w:r>
              <w:rPr>
                <w:rFonts w:hint="eastAsia"/>
                <w:b w:val="1"/>
                <w:sz w:val="22"/>
              </w:rPr>
              <w:t>ｂ）＝Ｐ</w:t>
            </w:r>
          </w:p>
        </w:tc>
      </w:tr>
      <w:tr>
        <w:trPr>
          <w:trHeight w:val="564" w:hRule="atLeast"/>
        </w:trPr>
        <w:tc>
          <w:tcPr>
            <w:tcW w:w="4127" w:type="dxa"/>
            <w:tcBorders>
              <w:top w:val="none" w:color="auto" w:sz="0" w:space="0"/>
              <w:left w:val="none" w:color="auto" w:sz="0" w:space="0"/>
              <w:bottom w:val="none" w:color="auto" w:sz="0" w:space="0"/>
              <w:right w:val="none" w:color="auto" w:sz="0" w:space="0"/>
              <w:tl2br w:val="nil"/>
              <w:tr2bl w:val="nil"/>
            </w:tcBorders>
            <w:shd w:val="clear" w:color="auto" w:themeFill="background2" w:themeFillTint="FF" w:themeFillShade="E6"/>
            <w:vAlign w:val="center"/>
          </w:tcPr>
          <w:p>
            <w:pPr>
              <w:pStyle w:val="0"/>
              <w:jc w:val="center"/>
              <w:rPr>
                <w:rFonts w:hint="eastAsia"/>
                <w:sz w:val="22"/>
              </w:rPr>
            </w:pPr>
            <w:r>
              <w:rPr>
                <w:rFonts w:hint="eastAsia"/>
                <w:sz w:val="22"/>
              </w:rPr>
              <w:t>指定業種</w:t>
            </w:r>
          </w:p>
        </w:tc>
        <w:tc>
          <w:tcPr>
            <w:tcW w:w="5419"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b w:val="1"/>
                <w:sz w:val="22"/>
              </w:rPr>
            </w:pPr>
            <w:r>
              <w:rPr>
                <w:rFonts w:hint="eastAsia"/>
                <w:b w:val="1"/>
                <w:sz w:val="22"/>
              </w:rPr>
              <w:t>Ｐ＝</w:t>
            </w:r>
          </w:p>
        </w:tc>
      </w:tr>
      <w:tr>
        <w:trPr>
          <w:trHeight w:val="564" w:hRule="atLeast"/>
        </w:trPr>
        <w:tc>
          <w:tcPr>
            <w:tcW w:w="4127" w:type="dxa"/>
            <w:tcBorders>
              <w:top w:val="none" w:color="auto" w:sz="0" w:space="0"/>
              <w:left w:val="none" w:color="auto" w:sz="0" w:space="0"/>
              <w:bottom w:val="none" w:color="auto" w:sz="0" w:space="0"/>
              <w:right w:val="none" w:color="auto" w:sz="0" w:space="0"/>
              <w:tl2br w:val="nil"/>
              <w:tr2bl w:val="nil"/>
            </w:tcBorders>
            <w:shd w:val="clear" w:color="auto" w:themeFill="background2" w:themeFillTint="FF" w:themeFillShade="E6"/>
            <w:vAlign w:val="center"/>
          </w:tcPr>
          <w:p>
            <w:pPr>
              <w:pStyle w:val="0"/>
              <w:jc w:val="center"/>
              <w:rPr>
                <w:rFonts w:hint="eastAsia"/>
                <w:sz w:val="22"/>
              </w:rPr>
            </w:pPr>
            <w:r>
              <w:rPr>
                <w:rFonts w:hint="eastAsia"/>
                <w:sz w:val="22"/>
              </w:rPr>
              <w:t>企業全体</w:t>
            </w:r>
          </w:p>
        </w:tc>
        <w:tc>
          <w:tcPr>
            <w:tcW w:w="5419"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1"/>
              </w:rPr>
            </w:pPr>
            <w:r>
              <w:rPr>
                <w:rFonts w:hint="eastAsia"/>
                <w:b w:val="1"/>
                <w:sz w:val="22"/>
              </w:rPr>
              <w:t>Ｐ＝</w:t>
            </w:r>
          </w:p>
        </w:tc>
      </w:tr>
    </w:tbl>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sz w:val="18"/>
        </w:rPr>
      </w:pPr>
      <w:r>
        <w:rPr>
          <w:rFonts w:hint="eastAsia" w:ascii="ＭＳ ゴシック" w:hAnsi="ＭＳ ゴシック" w:eastAsia="ＭＳ ゴシック"/>
          <w:sz w:val="22"/>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w:t>
      </w:r>
      <w:bookmarkStart w:id="0" w:name="_GoBack"/>
      <w:bookmarkEnd w:id="0"/>
      <w:r>
        <w:rPr>
          <w:rFonts w:hint="eastAsia" w:ascii="ＭＳ ゴシック" w:hAnsi="ＭＳ ゴシック" w:eastAsia="ＭＳ ゴシック"/>
          <w:sz w:val="22"/>
        </w:rPr>
        <w:t>えば、仕入帳、試算表、売上台帳など）の提出が必要。</w:t>
      </w:r>
    </w:p>
    <w:sectPr>
      <w:pgSz w:w="11906" w:h="16838"/>
      <w:pgMar w:top="567" w:right="850" w:bottom="567" w:left="85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4</Pages>
  <Words>12</Words>
  <Characters>1988</Characters>
  <Application>JUST Note</Application>
  <Lines>746</Lines>
  <Paragraphs>148</Paragraphs>
  <Company>METI</Company>
  <CharactersWithSpaces>3021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cp:lastModifiedBy>玉村町</cp:lastModifiedBy>
  <cp:lastPrinted>2024-09-30T11:50:00Z</cp:lastPrinted>
  <dcterms:created xsi:type="dcterms:W3CDTF">2024-09-30T11:54:00Z</dcterms:created>
  <dcterms:modified xsi:type="dcterms:W3CDTF">2024-10-22T01:41:01Z</dcterms:modified>
  <cp:revision>6</cp:revision>
</cp:coreProperties>
</file>