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78" w:tblpY="-18"/>
        <w:tblOverlap w:val="never"/>
        <w:tblW w:w="98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167"/>
      </w:tblGrid>
      <w:tr>
        <w:trPr>
          <w:trHeight w:val="400" w:hRule="atLeast"/>
        </w:trPr>
        <w:tc>
          <w:tcPr>
            <w:tcW w:w="9853"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67"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167"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853" w:type="dxa"/>
        <w:jc w:val="lef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53"/>
      </w:tblGrid>
      <w:tr>
        <w:trPr>
          <w:trHeight w:val="6978" w:hRule="atLeast"/>
        </w:trPr>
        <w:tc>
          <w:tcPr>
            <w:tcW w:w="98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sz w:val="6"/>
              </w:rPr>
            </w:pPr>
          </w:p>
          <w:p>
            <w:pPr>
              <w:pStyle w:val="0"/>
              <w:suppressAutoHyphens w:val="1"/>
              <w:kinsoku w:val="0"/>
              <w:overflowPunct w:val="0"/>
              <w:autoSpaceDE w:val="0"/>
              <w:autoSpaceDN w:val="0"/>
              <w:adjustRightInd w:val="0"/>
              <w:spacing w:line="0" w:lineRule="atLeast"/>
              <w:ind w:right="566"/>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u w:val="none" w:color="auto"/>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0" w:lineRule="atLeas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137"/>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37"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37"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0" w:lineRule="atLeas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0" w:lineRule="atLeast"/>
              <w:ind w:left="181"/>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0" w:lineRule="atLeas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0" w:lineRule="atLeas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w:t>
      </w:r>
      <w:r>
        <w:rPr>
          <w:rFonts w:hint="eastAsia" w:ascii="ＭＳ ゴシック" w:hAnsi="ＭＳ ゴシック" w:eastAsia="ＭＳ ゴシック"/>
          <w:color w:val="000000"/>
          <w:kern w:val="0"/>
          <w:sz w:val="16"/>
          <w:u w:val="single" w:color="000000"/>
        </w:rPr>
        <w:t>　　　　（注２）</w:t>
      </w:r>
      <w:r>
        <w:rPr>
          <w:rFonts w:hint="eastAsia" w:ascii="ＭＳ ゴシック" w:hAnsi="ＭＳ ゴシック" w:eastAsia="ＭＳ ゴシック"/>
          <w:color w:val="000000"/>
          <w:kern w:val="0"/>
          <w:sz w:val="16"/>
        </w:rPr>
        <w:t>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129" w:tblpY="144"/>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中小企業信用保険法第２条第５項第５号（ハ）②に規定する認定に関する添付書類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（表１：事業が属する業種ごとの最近１年間の売上高）</w:t>
      </w:r>
    </w:p>
    <w:p>
      <w:pPr>
        <w:pStyle w:val="0"/>
        <w:ind w:firstLine="222" w:firstLineChars="100"/>
        <w:rPr>
          <w:rFonts w:hint="default" w:asciiTheme="majorEastAsia" w:hAnsiTheme="majorEastAsia" w:eastAsiaTheme="majorEastAsia"/>
          <w:b w:val="1"/>
        </w:rPr>
      </w:pPr>
      <w:r>
        <w:rPr>
          <w:rFonts w:hint="eastAsia" w:asciiTheme="majorEastAsia" w:hAnsiTheme="majorEastAsia" w:eastAsiaTheme="majorEastAsia"/>
          <w:b w:val="0"/>
          <w:sz w:val="22"/>
          <w:u w:val="single" w:color="auto"/>
        </w:rPr>
        <w:t>当社の指定業種は　　　　　　　　　　　　</w:t>
      </w:r>
    </w:p>
    <w:tbl>
      <w:tblPr>
        <w:tblStyle w:val="4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numId w:val="0"/>
        </w:numPr>
        <w:ind w:left="851" w:leftChars="0" w:firstLine="0" w:firstLineChars="0"/>
        <w:jc w:val="left"/>
        <w:rPr>
          <w:rFonts w:hint="default"/>
        </w:rPr>
      </w:pPr>
      <w:r>
        <w:rPr>
          <w:rFonts w:hint="eastAsia"/>
        </w:rPr>
        <w:t>※業種欄には、日本標準産業分類の細分類番号と細分類業種名を記載。</w:t>
      </w:r>
    </w:p>
    <w:p>
      <w:pPr>
        <w:pStyle w:val="0"/>
        <w:spacing w:line="0" w:lineRule="atLeast"/>
        <w:rPr>
          <w:rFonts w:hint="default"/>
          <w:sz w:val="10"/>
        </w:rPr>
      </w:pPr>
    </w:p>
    <w:tbl>
      <w:tblPr>
        <w:tblStyle w:val="46"/>
        <w:tblpPr w:leftFromText="0" w:rightFromText="0" w:topFromText="0" w:bottomFromText="0" w:vertAnchor="text" w:horzAnchor="margin" w:tblpX="28" w:tblpY="344"/>
        <w:tblOverlap w:val="never"/>
        <w:tblW w:w="9831" w:type="dxa"/>
        <w:tblLayout w:type="fixed"/>
        <w:tblLook w:firstRow="1" w:lastRow="0" w:firstColumn="1" w:lastColumn="0" w:noHBand="0" w:noVBand="1" w:val="04A0"/>
      </w:tblPr>
      <w:tblGrid>
        <w:gridCol w:w="6015"/>
        <w:gridCol w:w="3816"/>
      </w:tblGrid>
      <w:tr>
        <w:trPr>
          <w:trHeight w:val="394"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6"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95"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16" w:type="dxa"/>
            <w:vAlign w:val="center"/>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rPr>
          <w:rFonts w:hint="default"/>
          <w:sz w:val="22"/>
        </w:rPr>
      </w:pPr>
      <w:r>
        <w:rPr>
          <w:rFonts w:hint="eastAsia" w:asciiTheme="majorEastAsia" w:hAnsiTheme="majorEastAsia" w:eastAsiaTheme="majorEastAsia"/>
          <w:b w:val="1"/>
          <w:sz w:val="22"/>
        </w:rPr>
        <w:t>（表２：最近３か月間における企業全体の売上高に占める指定業種の売上高の割合）</w:t>
      </w:r>
    </w:p>
    <w:p>
      <w:pPr>
        <w:pStyle w:val="0"/>
        <w:spacing w:line="0" w:lineRule="atLeast"/>
        <w:jc w:val="center"/>
        <w:rPr>
          <w:rFonts w:hint="default"/>
          <w:sz w:val="14"/>
        </w:rPr>
      </w:pPr>
    </w:p>
    <w:p>
      <w:pPr>
        <w:pStyle w:val="0"/>
        <w:jc w:val="left"/>
        <w:rPr>
          <w:rFonts w:hint="default"/>
          <w:sz w:val="22"/>
        </w:rPr>
      </w:pPr>
      <w:r>
        <w:rPr>
          <w:rFonts w:hint="eastAsia" w:asciiTheme="majorEastAsia" w:hAnsiTheme="majorEastAsia" w:eastAsiaTheme="majorEastAsia"/>
          <w:b w:val="1"/>
          <w:sz w:val="22"/>
        </w:rPr>
        <w:t>（表３：最近３か月間の月平均売上高営業利益率）</w:t>
      </w:r>
    </w:p>
    <w:tbl>
      <w:tblPr>
        <w:tblStyle w:val="47"/>
        <w:tblW w:w="9853" w:type="auto"/>
        <w:tblInd w:w="0" w:type="dxa"/>
        <w:tblLayout w:type="fixed"/>
        <w:tblLook w:firstRow="1" w:lastRow="0" w:firstColumn="1" w:lastColumn="0" w:noHBand="0" w:noVBand="1" w:val="04A0"/>
      </w:tblPr>
      <w:tblGrid>
        <w:gridCol w:w="7521"/>
        <w:gridCol w:w="2332"/>
      </w:tblGrid>
      <w:tr>
        <w:trPr>
          <w:trHeight w:val="441" w:hRule="atLeast"/>
        </w:trPr>
        <w:tc>
          <w:tcPr>
            <w:tcW w:w="7521"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指定業種の最近３か月間の月平均売上高営業利益率【Ａ】</w:t>
            </w:r>
          </w:p>
        </w:tc>
        <w:tc>
          <w:tcPr>
            <w:tcW w:w="2332" w:type="dxa"/>
            <w:vAlign w:val="center"/>
          </w:tcPr>
          <w:p>
            <w:pPr>
              <w:pStyle w:val="0"/>
              <w:jc w:val="right"/>
              <w:rPr>
                <w:rFonts w:hint="eastAsia"/>
              </w:rPr>
            </w:pPr>
            <w:r>
              <w:rPr>
                <w:rFonts w:hint="eastAsia"/>
              </w:rPr>
              <w:t>　</w:t>
            </w:r>
            <w:r>
              <w:rPr>
                <w:rFonts w:hint="eastAsia"/>
              </w:rPr>
              <w:t xml:space="preserve"> </w:t>
            </w:r>
            <w:r>
              <w:rPr>
                <w:rFonts w:hint="eastAsia"/>
              </w:rPr>
              <w:t>％</w:t>
            </w:r>
          </w:p>
        </w:tc>
      </w:tr>
      <w:tr>
        <w:trPr>
          <w:trHeight w:val="444" w:hRule="atLeast"/>
        </w:trPr>
        <w:tc>
          <w:tcPr>
            <w:tcW w:w="7521"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4"/>
              </w:rPr>
              <w:t>企業全体の最近３か月間の月平均売上高営業利益率【Ａ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2332" w:type="dxa"/>
            <w:vAlign w:val="center"/>
          </w:tcPr>
          <w:p>
            <w:pPr>
              <w:pStyle w:val="0"/>
              <w:jc w:val="right"/>
              <w:rPr>
                <w:rFonts w:hint="eastAsia"/>
              </w:rPr>
            </w:pPr>
            <w:r>
              <w:rPr>
                <w:rFonts w:hint="eastAsia"/>
              </w:rPr>
              <w:t>％</w:t>
            </w:r>
          </w:p>
        </w:tc>
      </w:tr>
    </w:tbl>
    <w:p>
      <w:pPr>
        <w:pStyle w:val="0"/>
        <w:spacing w:line="0" w:lineRule="atLeast"/>
        <w:rPr>
          <w:rFonts w:hint="default" w:asciiTheme="majorEastAsia" w:hAnsiTheme="majorEastAsia" w:eastAsiaTheme="majorEastAsia"/>
          <w:b w:val="1"/>
          <w:sz w:val="14"/>
        </w:rPr>
      </w:pPr>
    </w:p>
    <w:p>
      <w:pPr>
        <w:pStyle w:val="0"/>
        <w:rPr>
          <w:rFonts w:hint="default"/>
          <w:u w:val="dotDash" w:color="auto"/>
        </w:rPr>
      </w:pPr>
      <w:r>
        <w:rPr>
          <w:rFonts w:hint="eastAsia" w:asciiTheme="majorEastAsia" w:hAnsiTheme="majorEastAsia" w:eastAsiaTheme="majorEastAsia"/>
          <w:b w:val="1"/>
          <w:sz w:val="22"/>
        </w:rPr>
        <w:t>（表４：最近３か月間の前年同期の月平均売上高営業利益率）</w:t>
      </w:r>
    </w:p>
    <w:tbl>
      <w:tblPr>
        <w:tblStyle w:val="47"/>
        <w:tblW w:w="9853" w:type="auto"/>
        <w:tblInd w:w="0" w:type="dxa"/>
        <w:tblLayout w:type="fixed"/>
        <w:tblLook w:firstRow="1" w:lastRow="0" w:firstColumn="1" w:lastColumn="0" w:noHBand="0" w:noVBand="1" w:val="04A0"/>
      </w:tblPr>
      <w:tblGrid>
        <w:gridCol w:w="7521"/>
        <w:gridCol w:w="2332"/>
      </w:tblGrid>
      <w:tr>
        <w:trPr>
          <w:trHeight w:val="460" w:hRule="atLeast"/>
        </w:trPr>
        <w:tc>
          <w:tcPr>
            <w:tcW w:w="7521" w:type="dxa"/>
            <w:shd w:val="clear" w:color="auto" w:themeFill="background2" w:themeFillTint="FF" w:themeFillShade="E6"/>
            <w:vAlign w:val="center"/>
          </w:tcPr>
          <w:p>
            <w:pPr>
              <w:pStyle w:val="0"/>
              <w:jc w:val="center"/>
              <w:rPr>
                <w:rFonts w:hint="eastAsia"/>
                <w:sz w:val="20"/>
              </w:rPr>
            </w:pPr>
            <w:r>
              <w:rPr>
                <w:rFonts w:hint="eastAsia" w:ascii="ＭＳ ゴシック" w:hAnsi="ＭＳ ゴシック" w:eastAsia="ＭＳ ゴシック"/>
                <w:sz w:val="22"/>
              </w:rPr>
              <w:t>指定業種の最近３か月間の前年同期の月平均売上高営業利益率【Ｂ】</w:t>
            </w:r>
          </w:p>
        </w:tc>
        <w:tc>
          <w:tcPr>
            <w:tcW w:w="2332" w:type="dxa"/>
            <w:vAlign w:val="center"/>
          </w:tcPr>
          <w:p>
            <w:pPr>
              <w:pStyle w:val="0"/>
              <w:jc w:val="right"/>
              <w:rPr>
                <w:rFonts w:hint="eastAsia"/>
              </w:rPr>
            </w:pPr>
            <w:r>
              <w:rPr>
                <w:rFonts w:hint="eastAsia"/>
              </w:rPr>
              <w:t xml:space="preserve"> </w:t>
            </w:r>
            <w:r>
              <w:rPr>
                <w:rFonts w:hint="eastAsia"/>
              </w:rPr>
              <w:t>％</w:t>
            </w:r>
          </w:p>
        </w:tc>
      </w:tr>
      <w:tr>
        <w:trPr>
          <w:trHeight w:val="425" w:hRule="atLeast"/>
        </w:trPr>
        <w:tc>
          <w:tcPr>
            <w:tcW w:w="7521" w:type="dxa"/>
            <w:shd w:val="clear" w:color="auto" w:themeFill="background2" w:themeFillTint="FF" w:themeFillShade="E6"/>
            <w:vAlign w:val="center"/>
          </w:tcPr>
          <w:p>
            <w:pPr>
              <w:pStyle w:val="0"/>
              <w:jc w:val="center"/>
              <w:rPr>
                <w:rFonts w:hint="eastAsia"/>
              </w:rPr>
            </w:pPr>
            <w:r>
              <w:rPr>
                <w:rFonts w:hint="eastAsia" w:ascii="ＭＳ ゴシック" w:hAnsi="ＭＳ ゴシック" w:eastAsia="ＭＳ ゴシック"/>
                <w:sz w:val="22"/>
              </w:rPr>
              <w:t>企業全体の最近３か月間の前年同期の月平均売上高営業利益率【Ｂ</w:t>
            </w:r>
            <w:r>
              <w:rPr>
                <w:rFonts w:hint="default" w:ascii="ＭＳ ゴシック" w:hAnsi="ＭＳ ゴシック" w:eastAsia="ＭＳ ゴシック"/>
                <w:sz w:val="22"/>
              </w:rPr>
              <w:t>’</w:t>
            </w:r>
            <w:r>
              <w:rPr>
                <w:rFonts w:hint="eastAsia" w:ascii="ＭＳ ゴシック" w:hAnsi="ＭＳ ゴシック" w:eastAsia="ＭＳ ゴシック"/>
                <w:sz w:val="22"/>
              </w:rPr>
              <w:t>】</w:t>
            </w:r>
          </w:p>
        </w:tc>
        <w:tc>
          <w:tcPr>
            <w:tcW w:w="2332" w:type="dxa"/>
            <w:vAlign w:val="center"/>
          </w:tcPr>
          <w:p>
            <w:pPr>
              <w:pStyle w:val="0"/>
              <w:jc w:val="right"/>
              <w:rPr>
                <w:rFonts w:hint="eastAsia"/>
              </w:rPr>
            </w:pPr>
            <w:r>
              <w:rPr>
                <w:rFonts w:hint="eastAsia"/>
              </w:rPr>
              <w:t>％</w:t>
            </w:r>
          </w:p>
        </w:tc>
      </w:tr>
    </w:tbl>
    <w:p>
      <w:pPr>
        <w:pStyle w:val="0"/>
        <w:rPr>
          <w:rFonts w:hint="default"/>
          <w:u w:val="dotDash" w:color="auto"/>
        </w:rPr>
      </w:pPr>
    </w:p>
    <w:p>
      <w:pPr>
        <w:pStyle w:val="0"/>
        <w:rPr>
          <w:rFonts w:hint="default"/>
          <w:u w:val="dotDash" w:color="auto"/>
        </w:rPr>
      </w:pPr>
      <w:r>
        <w:rPr>
          <w:rFonts w:hint="eastAsia"/>
          <w:u w:val="dotDash" w:color="auto"/>
        </w:rPr>
        <w:t>　　　　　　　　　　　　　　　　　　　　　　　　　　　　　　　　　　　　　　　　　　　　　</w:t>
      </w:r>
    </w:p>
    <w:p>
      <w:pPr>
        <w:pStyle w:val="0"/>
        <w:spacing w:line="0" w:lineRule="atLeast"/>
        <w:rPr>
          <w:rFonts w:hint="default"/>
          <w:sz w:val="14"/>
        </w:rPr>
      </w:pPr>
    </w:p>
    <w:p>
      <w:pPr>
        <w:pStyle w:val="0"/>
        <w:rPr>
          <w:rFonts w:hint="default"/>
        </w:rPr>
      </w:pPr>
      <w:r>
        <w:rPr>
          <w:rFonts w:hint="eastAsia" w:ascii="ＭＳ ゴシック" w:hAnsi="ＭＳ ゴシック" w:eastAsia="ＭＳ ゴシック"/>
          <w:b w:val="1"/>
          <w:color w:val="000000"/>
          <w:spacing w:val="16"/>
          <w:kern w:val="0"/>
          <w:sz w:val="24"/>
        </w:rPr>
        <w:t>（１）最近３か月間の指定業種の月平均売上高営業利益率の減少率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－【Ａ】　　　　　　％</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0" w:lineRule="atLeast"/>
        <w:jc w:val="left"/>
        <w:rPr>
          <w:rFonts w:hint="default" w:ascii="ＭＳ ゴシック" w:hAnsi="ＭＳ ゴシック" w:eastAsia="ＭＳ ゴシック"/>
          <w:color w:val="000000"/>
          <w:spacing w:val="16"/>
          <w:kern w:val="0"/>
          <w:sz w:val="1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sz w:val="24"/>
        </w:rPr>
        <w:t>（２）最近３か月間の企業</w:t>
      </w:r>
      <w:r>
        <w:rPr>
          <w:rFonts w:hint="eastAsia" w:ascii="ＭＳ ゴシック" w:hAnsi="ＭＳ ゴシック" w:eastAsia="ＭＳ ゴシック"/>
          <w:b w:val="1"/>
          <w:color w:val="000000"/>
          <w:spacing w:val="16"/>
          <w:kern w:val="0"/>
          <w:sz w:val="24"/>
        </w:rPr>
        <w:t>全体の月平均売上高営業利益率の減少率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w:t>
            </w:r>
            <w:bookmarkStart w:id="0" w:name="_GoBack"/>
            <w:bookmarkEnd w:id="0"/>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rPr>
          <w:rFonts w:hint="default"/>
        </w:rPr>
      </w:pPr>
    </w:p>
    <w:p>
      <w:pPr>
        <w:pStyle w:val="0"/>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8</Words>
  <Characters>1455</Characters>
  <Application>JUST Note</Application>
  <Lines>252</Lines>
  <Paragraphs>94</Paragraphs>
  <Company>METI</Company>
  <CharactersWithSpaces>2176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2024-10-21T04:50:55Z</dcterms:modified>
  <cp:revision>5</cp:revision>
</cp:coreProperties>
</file>