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0"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0" w:lineRule="atLeast"/>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leftChars="0" w:firstLine="106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leftChars="0" w:firstLine="106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円（注３）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（注２）</w:t>
      </w:r>
      <w:r>
        <w:rPr>
          <w:rFonts w:hint="eastAsia" w:ascii="ＭＳ ゴシック" w:hAnsi="ＭＳ ゴシック" w:eastAsia="ＭＳ ゴシック"/>
          <w:color w:val="000000"/>
          <w:kern w:val="0"/>
          <w:sz w:val="16"/>
          <w:u w:val="single" w:color="auto"/>
        </w:rPr>
        <w:t>　　　　（注２）</w:t>
      </w:r>
      <w:r>
        <w:rPr>
          <w:rFonts w:hint="eastAsia" w:ascii="ＭＳ ゴシック" w:hAnsi="ＭＳ ゴシック" w:eastAsia="ＭＳ ゴシック"/>
          <w:color w:val="000000"/>
          <w:kern w:val="0"/>
          <w:sz w:val="16"/>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6"/>
        </w:rPr>
        <w:t>市町村長又は特別区長から認定を受けた日から３０日以内に金融機関又は信用保証協会に対して、保証の申込みを行うことが必要です。</w:t>
      </w:r>
    </w:p>
    <w:tbl>
      <w:tblPr>
        <w:tblStyle w:val="47"/>
        <w:tblpPr w:leftFromText="0" w:rightFromText="0" w:topFromText="0" w:bottomFromText="0" w:vertAnchor="text" w:horzAnchor="margin" w:tblpX="111" w:tblpY="332"/>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0"/>
        <w:rPr>
          <w:rFonts w:hint="default" w:ascii="ＭＳ ゴシック" w:hAnsi="ＭＳ ゴシック" w:eastAsia="ＭＳ ゴシック"/>
          <w:color w:val="000000"/>
          <w:spacing w:val="-10"/>
          <w:kern w:val="0"/>
          <w:sz w:val="18"/>
        </w:rPr>
      </w:pPr>
    </w:p>
    <w:p>
      <w:pPr>
        <w:pStyle w:val="0"/>
        <w:jc w:val="center"/>
        <w:rPr>
          <w:rFonts w:hint="default"/>
          <w:sz w:val="24"/>
        </w:rPr>
      </w:pPr>
      <w:r>
        <w:rPr>
          <w:rFonts w:hint="eastAsia"/>
          <w:sz w:val="24"/>
        </w:rPr>
        <w:t>中小企業信用保険法第２条第５項第５号（イ）③に規定する認定に関する添付書類</w:t>
      </w:r>
    </w:p>
    <w:p>
      <w:pPr>
        <w:pStyle w:val="0"/>
        <w:jc w:val="left"/>
        <w:rPr>
          <w:rFonts w:hint="default"/>
          <w:sz w:val="24"/>
        </w:rPr>
      </w:pPr>
    </w:p>
    <w:p>
      <w:pPr>
        <w:pStyle w:val="0"/>
        <w:jc w:val="left"/>
        <w:rPr>
          <w:rFonts w:hint="default"/>
          <w:sz w:val="24"/>
        </w:rPr>
      </w:pPr>
      <w:r>
        <w:rPr>
          <w:rFonts w:hint="eastAsia"/>
          <w:sz w:val="24"/>
        </w:rPr>
        <w:t>認定申請企業名　</w:t>
      </w:r>
      <w:r>
        <w:rPr>
          <w:rFonts w:hint="eastAsia"/>
          <w:sz w:val="24"/>
          <w:u w:val="single" w:color="auto"/>
        </w:rPr>
        <w:t>　　　　　　　　　　　　　　　　　　　　　</w:t>
      </w:r>
    </w:p>
    <w:p>
      <w:pPr>
        <w:pStyle w:val="0"/>
        <w:rPr>
          <w:rFonts w:hint="default" w:asciiTheme="majorEastAsia" w:hAnsiTheme="majorEastAsia" w:eastAsiaTheme="majorEastAsia"/>
          <w:b w:val="1"/>
        </w:rPr>
      </w:pPr>
      <w:r>
        <w:rPr>
          <w:rFonts w:hint="eastAsia" w:asciiTheme="majorEastAsia" w:hAnsiTheme="majorEastAsia" w:eastAsiaTheme="majorEastAsia"/>
          <w:b w:val="1"/>
          <w:sz w:val="22"/>
        </w:rPr>
        <w:t>（表１：事業が属する業種ごとの創業後からの売上高）</w:t>
      </w:r>
    </w:p>
    <w:p>
      <w:pPr>
        <w:pStyle w:val="0"/>
        <w:rPr>
          <w:rFonts w:hint="default" w:asciiTheme="majorEastAsia" w:hAnsiTheme="majorEastAsia" w:eastAsiaTheme="majorEastAsia"/>
          <w:b w:val="1"/>
        </w:rPr>
      </w:pPr>
      <w:r>
        <w:rPr>
          <w:rFonts w:hint="eastAsia" w:asciiTheme="majorEastAsia" w:hAnsiTheme="majorEastAsia" w:eastAsiaTheme="majorEastAsia"/>
          <w:b w:val="0"/>
          <w:sz w:val="22"/>
        </w:rPr>
        <w:t>（令和　　　年　　　月　～　令和　　　年　　　月）</w:t>
      </w:r>
    </w:p>
    <w:tbl>
      <w:tblPr>
        <w:tblStyle w:val="46"/>
        <w:tblW w:w="98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802"/>
        <w:gridCol w:w="4110"/>
        <w:gridCol w:w="2924"/>
      </w:tblGrid>
      <w:tr>
        <w:trPr>
          <w:trHeight w:val="367" w:hRule="atLeast"/>
        </w:trPr>
        <w:tc>
          <w:tcPr>
            <w:tcW w:w="28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業種（※１）</w:t>
            </w:r>
          </w:p>
        </w:tc>
        <w:tc>
          <w:tcPr>
            <w:tcW w:w="411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92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802"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例：△△業、■■業（※２）　</w:t>
            </w:r>
          </w:p>
        </w:tc>
        <w:tc>
          <w:tcPr>
            <w:tcW w:w="411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802"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企業全体の売上高</w:t>
            </w:r>
          </w:p>
        </w:tc>
        <w:tc>
          <w:tcPr>
            <w:tcW w:w="4110"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ilvl w:val="0"/>
          <w:numId w:val="2"/>
        </w:numPr>
        <w:ind w:left="851" w:leftChars="0" w:hanging="851"/>
        <w:rPr>
          <w:rFonts w:hint="default"/>
        </w:rPr>
      </w:pPr>
      <w:r>
        <w:rPr>
          <w:rFonts w:hint="eastAsia"/>
        </w:rPr>
        <w:t>業種欄には、営んでいる事業が属する全ての業種（日本標準産業分類の細分類番号と細分類業種名）を記載。細分類業種は全て指定業種に該当することが必要。</w:t>
      </w:r>
    </w:p>
    <w:p>
      <w:pPr>
        <w:pStyle w:val="24"/>
        <w:numPr>
          <w:ilvl w:val="0"/>
          <w:numId w:val="2"/>
        </w:numPr>
        <w:ind w:left="851" w:leftChars="0" w:hanging="851"/>
        <w:rPr>
          <w:rFonts w:hint="default"/>
        </w:rPr>
      </w:pPr>
      <w:r>
        <w:rPr>
          <w:rFonts w:hint="eastAsia"/>
        </w:rPr>
        <w:t>指定業種の売上高を合算して記載することも可。</w:t>
      </w:r>
    </w:p>
    <w:p>
      <w:pPr>
        <w:pStyle w:val="0"/>
        <w:rPr>
          <w:rFonts w:hint="default"/>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（表２：最近１か月間の売上高【Ａ】）</w:t>
      </w:r>
    </w:p>
    <w:tbl>
      <w:tblPr>
        <w:tblStyle w:val="46"/>
        <w:tblW w:w="9889" w:type="dxa"/>
        <w:tblInd w:w="0" w:type="dxa"/>
        <w:tblLayout w:type="fixed"/>
        <w:tblLook w:firstRow="1" w:lastRow="0" w:firstColumn="1" w:lastColumn="0" w:noHBand="0" w:noVBand="1" w:val="04A0"/>
      </w:tblPr>
      <w:tblGrid>
        <w:gridCol w:w="4977"/>
        <w:gridCol w:w="4912"/>
      </w:tblGrid>
      <w:tr>
        <w:trPr>
          <w:trHeight w:val="732" w:hRule="atLeast"/>
        </w:trPr>
        <w:tc>
          <w:tcPr>
            <w:tcW w:w="4977" w:type="dxa"/>
            <w:shd w:val="clear" w:color="auto" w:themeFill="background2" w:themeFillTint="FF" w:themeFillShade="E6"/>
            <w:vAlign w:val="center"/>
          </w:tcPr>
          <w:p>
            <w:pPr>
              <w:pStyle w:val="0"/>
              <w:jc w:val="center"/>
              <w:rPr>
                <w:rFonts w:hint="default"/>
                <w:sz w:val="18"/>
              </w:rPr>
            </w:pPr>
            <w:r>
              <w:rPr>
                <w:rFonts w:hint="eastAsia"/>
                <w:sz w:val="18"/>
              </w:rPr>
              <w:t>企業全体の最近１か月間の</w:t>
            </w:r>
            <w:bookmarkStart w:id="0" w:name="_GoBack"/>
            <w:bookmarkEnd w:id="0"/>
            <w:r>
              <w:rPr>
                <w:rFonts w:hint="eastAsia"/>
                <w:sz w:val="18"/>
              </w:rPr>
              <w:t>売上高</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bl>
    <w:p>
      <w:pPr>
        <w:pStyle w:val="0"/>
        <w:rPr>
          <w:rFonts w:hint="default"/>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（表３：【Ａ】の直前３か月間の平均売上高【Ｂ】）</w:t>
      </w:r>
    </w:p>
    <w:tbl>
      <w:tblPr>
        <w:tblStyle w:val="46"/>
        <w:tblW w:w="9889" w:type="dxa"/>
        <w:tblInd w:w="0" w:type="dxa"/>
        <w:tblLayout w:type="fixed"/>
        <w:tblLook w:firstRow="1" w:lastRow="0" w:firstColumn="1" w:lastColumn="0" w:noHBand="0" w:noVBand="1" w:val="04A0"/>
      </w:tblPr>
      <w:tblGrid>
        <w:gridCol w:w="4977"/>
        <w:gridCol w:w="4912"/>
      </w:tblGrid>
      <w:tr>
        <w:trPr>
          <w:trHeight w:val="732" w:hRule="atLeast"/>
        </w:trPr>
        <w:tc>
          <w:tcPr>
            <w:tcW w:w="4977" w:type="dxa"/>
            <w:shd w:val="clear" w:color="auto" w:themeFill="background2" w:themeFillTint="FF" w:themeFillShade="E6"/>
            <w:vAlign w:val="center"/>
          </w:tcPr>
          <w:p>
            <w:pPr>
              <w:pStyle w:val="0"/>
              <w:jc w:val="center"/>
              <w:rPr>
                <w:rFonts w:hint="default"/>
              </w:rPr>
            </w:pPr>
            <w:r>
              <w:rPr>
                <w:rFonts w:hint="eastAsia" w:asciiTheme="majorEastAsia" w:hAnsiTheme="majorEastAsia" w:eastAsiaTheme="majorEastAsia"/>
                <w:b w:val="0"/>
                <w:sz w:val="18"/>
              </w:rPr>
              <w:t>【Ａ】</w:t>
            </w:r>
            <w:r>
              <w:rPr>
                <w:rFonts w:hint="eastAsia"/>
                <w:sz w:val="18"/>
              </w:rPr>
              <w:t>の直前３か月間の平均売上高</w:t>
            </w:r>
          </w:p>
        </w:tc>
        <w:tc>
          <w:tcPr>
            <w:tcW w:w="4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bl>
    <w:p>
      <w:pPr>
        <w:pStyle w:val="0"/>
        <w:rPr>
          <w:rFonts w:hint="default"/>
        </w:rPr>
      </w:pPr>
    </w:p>
    <w:p>
      <w:pPr>
        <w:pStyle w:val="0"/>
        <w:rPr>
          <w:rFonts w:hint="default"/>
          <w:u w:val="dotDash" w:color="auto"/>
        </w:rPr>
      </w:pPr>
      <w:r>
        <w:rPr>
          <w:rFonts w:hint="eastAsia"/>
          <w:u w:val="dotDash" w:color="auto"/>
        </w:rPr>
        <w:t>　　　　　　　　　　　　　　　　　　　　　　　　　　　　　　　　　　　　　　　　　　　　　　　</w:t>
      </w:r>
    </w:p>
    <w:p>
      <w:pPr>
        <w:pStyle w:val="0"/>
        <w:rPr>
          <w:rFonts w:hint="default" w:asciiTheme="majorEastAsia" w:hAnsiTheme="majorEastAsia" w:eastAsiaTheme="majorEastAsia"/>
          <w:b w:val="1"/>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（企業全体の売上高の減少率）</w:t>
      </w:r>
    </w:p>
    <w:p>
      <w:pPr>
        <w:pStyle w:val="0"/>
        <w:rPr>
          <w:rFonts w:hint="default"/>
        </w:rPr>
      </w:pPr>
    </w:p>
    <w:p>
      <w:pPr>
        <w:pStyle w:val="0"/>
        <w:spacing w:line="360" w:lineRule="auto"/>
        <w:rPr>
          <w:rFonts w:hint="default"/>
          <w:b w:val="1"/>
          <w:sz w:val="28"/>
        </w:rPr>
      </w:pPr>
      <w:r>
        <w:rPr>
          <w:rFonts w:hint="default"/>
          <w:b w:val="1"/>
        </w:rPr>
        <mc:AlternateContent>
          <mc:Choice Requires="wps">
            <w:drawing>
              <wp:anchor simplePos="0" relativeHeight="2" behindDoc="0" locked="0" layoutInCell="1" hidden="0" allowOverlap="1">
                <wp:simplePos x="0" y="0"/>
                <wp:positionH relativeFrom="column">
                  <wp:posOffset>3756660</wp:posOffset>
                </wp:positionH>
                <wp:positionV relativeFrom="paragraph">
                  <wp:posOffset>44450</wp:posOffset>
                </wp:positionV>
                <wp:extent cx="2390775" cy="4476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90775" cy="447675"/>
                        </a:xfrm>
                        <a:prstGeom prst="rect">
                          <a:avLst/>
                        </a:prstGeom>
                        <a:noFill/>
                        <a:ln>
                          <a:miter/>
                        </a:ln>
                      </wps:spPr>
                      <wps:txbx>
                        <w:txbxContent>
                          <w:p>
                            <w:pPr>
                              <w:pStyle w:val="0"/>
                              <w:rPr>
                                <w:rFonts w:hint="default"/>
                                <w:b w:val="1"/>
                                <w:sz w:val="28"/>
                              </w:rPr>
                            </w:pPr>
                            <w:r>
                              <w:rPr>
                                <w:rFonts w:hint="eastAsia"/>
                                <w:b w:val="1"/>
                                <w:sz w:val="28"/>
                              </w:rPr>
                              <w:t>×１００＝</w:t>
                            </w:r>
                            <w:r>
                              <w:rPr>
                                <w:rFonts w:hint="eastAsia"/>
                                <w:b w:val="1"/>
                                <w:sz w:val="28"/>
                                <w:u w:val="single" w:color="auto"/>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width:188.25pt;height:35.25pt;mso-position-horizontal-relative:text;position:absolute;margin-left:295.8pt;margin-top:3.5pt;" o:spid="_x0000_s1026" o:allowincell="t" o:allowoverlap="t"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×１００＝</w:t>
                      </w:r>
                      <w:r>
                        <w:rPr>
                          <w:rFonts w:hint="eastAsia"/>
                          <w:b w:val="1"/>
                          <w:sz w:val="28"/>
                          <w:u w:val="single" w:color="auto"/>
                        </w:rPr>
                        <w:t>　　　　％</w:t>
                      </w:r>
                    </w:p>
                  </w:txbxContent>
                </v:textbox>
                <v:imagedata o:title=""/>
                <w10:wrap type="none" anchorx="text" anchory="text"/>
              </v:shape>
            </w:pict>
          </mc:Fallback>
        </mc:AlternateContent>
      </w:r>
      <w:r>
        <w:rPr>
          <w:rFonts w:hint="eastAsia"/>
          <w:b w:val="1"/>
          <w:sz w:val="28"/>
          <w:u w:val="single" w:color="auto"/>
        </w:rPr>
        <w:t>【</w:t>
      </w:r>
      <w:r>
        <w:rPr>
          <w:rFonts w:hint="eastAsia"/>
          <w:b w:val="1"/>
          <w:sz w:val="28"/>
          <w:u w:val="single" w:color="auto"/>
        </w:rPr>
        <w:t>B</w:t>
      </w:r>
      <w:r>
        <w:rPr>
          <w:rFonts w:hint="eastAsia"/>
          <w:b w:val="1"/>
          <w:sz w:val="28"/>
          <w:u w:val="single" w:color="auto"/>
        </w:rPr>
        <w:t>】　　　　　円　－【</w:t>
      </w:r>
      <w:r>
        <w:rPr>
          <w:rFonts w:hint="eastAsia"/>
          <w:b w:val="1"/>
          <w:sz w:val="28"/>
          <w:u w:val="single" w:color="auto"/>
        </w:rPr>
        <w:t>A</w:t>
      </w:r>
      <w:r>
        <w:rPr>
          <w:rFonts w:hint="eastAsia"/>
          <w:b w:val="1"/>
          <w:sz w:val="28"/>
          <w:u w:val="single" w:color="auto"/>
        </w:rPr>
        <w:t>】　　　　　　円</w:t>
      </w:r>
    </w:p>
    <w:p>
      <w:pPr>
        <w:pStyle w:val="0"/>
        <w:spacing w:line="360" w:lineRule="auto"/>
        <w:ind w:firstLine="987" w:firstLineChars="350"/>
        <w:rPr>
          <w:rFonts w:hint="default"/>
          <w:b w:val="1"/>
          <w:sz w:val="28"/>
        </w:rPr>
      </w:pPr>
      <w:r>
        <w:rPr>
          <w:rFonts w:hint="eastAsia"/>
          <w:b w:val="1"/>
          <w:sz w:val="28"/>
        </w:rPr>
        <w:t>【</w:t>
      </w:r>
      <w:r>
        <w:rPr>
          <w:rFonts w:hint="eastAsia"/>
          <w:b w:val="1"/>
          <w:sz w:val="28"/>
        </w:rPr>
        <w:t>B</w:t>
      </w:r>
      <w:r>
        <w:rPr>
          <w:rFonts w:hint="eastAsia"/>
          <w:b w:val="1"/>
          <w:sz w:val="28"/>
        </w:rPr>
        <w:t>】　　　　　　円</w:t>
      </w:r>
    </w:p>
    <w:p>
      <w:pPr>
        <w:pStyle w:val="0"/>
        <w:rPr>
          <w:rFonts w:hint="default"/>
          <w:b w:val="1"/>
          <w:sz w:val="22"/>
        </w:rPr>
      </w:pPr>
    </w:p>
    <w:p>
      <w:pPr>
        <w:pStyle w:val="0"/>
        <w:rPr>
          <w:rFonts w:hint="eastAsia" w:asciiTheme="minorEastAsia" w:hAnsiTheme="minorEastAsia" w:eastAsiaTheme="minorEastAsia"/>
          <w:sz w:val="18"/>
        </w:rPr>
      </w:pPr>
      <w:r>
        <w:rPr>
          <w:rFonts w:hint="eastAsia" w:asciiTheme="minorEastAsia" w:hAnsiTheme="minorEastAsia" w:eastAsiaTheme="minorEastAsia"/>
          <w:sz w:val="21"/>
        </w:rPr>
        <w:t>（注）</w:t>
      </w:r>
    </w:p>
    <w:p>
      <w:pPr>
        <w:pStyle w:val="0"/>
        <w:rPr>
          <w:rFonts w:hint="default"/>
          <w:sz w:val="18"/>
        </w:rPr>
      </w:pPr>
      <w:r>
        <w:rPr>
          <w:rFonts w:hint="eastAsia" w:asciiTheme="minorEastAsia" w:hAnsiTheme="minorEastAsia" w:eastAsiaTheme="minorEastAsia"/>
          <w:sz w:val="21"/>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sz w:val="18"/>
        </w:rPr>
      </w:pPr>
    </w:p>
    <w:sectPr>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F63C2404"/>
    <w:lvl w:ilvl="0" w:tplc="90244DE0">
      <w:start w:val="1"/>
      <w:numFmt w:val="decimalFullWidth"/>
      <w:lvlText w:val="（※%1）"/>
      <w:lvlJc w:val="left"/>
      <w:pPr>
        <w:ind w:left="1785" w:hanging="1785"/>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4</Words>
  <Characters>1170</Characters>
  <Application>JUST Note</Application>
  <Lines>112</Lines>
  <Paragraphs>75</Paragraphs>
  <Company>METI</Company>
  <CharactersWithSpaces>1739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2024-10-22T00:18:12Z</dcterms:modified>
  <cp:revision>10</cp:revision>
</cp:coreProperties>
</file>